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sidR="00EF4683">
        <w:rPr>
          <w:noProof w:val="0"/>
          <w:sz w:val="24"/>
          <w:szCs w:val="24"/>
          <w:lang w:val="sv-SE"/>
        </w:rPr>
        <w:t>86</w:t>
      </w:r>
      <w:r>
        <w:rPr>
          <w:noProof w:val="0"/>
          <w:sz w:val="24"/>
          <w:szCs w:val="24"/>
          <w:lang w:val="sv-SE"/>
        </w:rPr>
        <w:tab/>
      </w:r>
      <w:r w:rsidR="00A113A2" w:rsidRPr="00A113A2">
        <w:rPr>
          <w:noProof w:val="0"/>
          <w:sz w:val="24"/>
          <w:szCs w:val="24"/>
          <w:lang w:val="sv-SE"/>
        </w:rPr>
        <w:t>R4-1801943</w:t>
      </w:r>
    </w:p>
    <w:p w:rsidR="00AC1D3D" w:rsidRDefault="00EF4683" w:rsidP="00AC1D3D">
      <w:pPr>
        <w:pStyle w:val="CRCoverPage"/>
        <w:outlineLvl w:val="0"/>
        <w:rPr>
          <w:b/>
          <w:noProof/>
          <w:sz w:val="24"/>
        </w:rPr>
      </w:pPr>
      <w:r>
        <w:rPr>
          <w:b/>
          <w:sz w:val="24"/>
          <w:szCs w:val="24"/>
        </w:rPr>
        <w:t>Athens</w:t>
      </w:r>
      <w:r w:rsidR="00AC1D3D">
        <w:rPr>
          <w:b/>
          <w:noProof/>
          <w:sz w:val="24"/>
        </w:rPr>
        <w:t xml:space="preserve">, </w:t>
      </w:r>
      <w:r>
        <w:rPr>
          <w:b/>
          <w:noProof/>
          <w:sz w:val="24"/>
        </w:rPr>
        <w:t>Greece</w:t>
      </w:r>
      <w:r w:rsidR="00AC1D3D">
        <w:rPr>
          <w:b/>
          <w:noProof/>
          <w:sz w:val="24"/>
        </w:rPr>
        <w:t>, 2</w:t>
      </w:r>
      <w:r w:rsidR="00983540">
        <w:fldChar w:fldCharType="begin"/>
      </w:r>
      <w:r w:rsidR="00983540">
        <w:instrText xml:space="preserve"> DOCPROPERTY  EndDate  \* MERGEFORMAT </w:instrText>
      </w:r>
      <w:r w:rsidR="00983540">
        <w:fldChar w:fldCharType="separate"/>
      </w:r>
      <w:r>
        <w:rPr>
          <w:b/>
          <w:noProof/>
          <w:sz w:val="24"/>
        </w:rPr>
        <w:t>7</w:t>
      </w:r>
      <w:r w:rsidR="00AC1D3D" w:rsidRPr="00B6437C">
        <w:rPr>
          <w:b/>
          <w:noProof/>
          <w:sz w:val="24"/>
          <w:vertAlign w:val="superscript"/>
        </w:rPr>
        <w:t>th</w:t>
      </w:r>
      <w:r w:rsidR="00AC1D3D">
        <w:rPr>
          <w:b/>
          <w:noProof/>
          <w:sz w:val="24"/>
        </w:rPr>
        <w:t xml:space="preserve"> </w:t>
      </w:r>
      <w:r>
        <w:rPr>
          <w:b/>
          <w:noProof/>
          <w:sz w:val="24"/>
        </w:rPr>
        <w:t>February</w:t>
      </w:r>
      <w:r w:rsidR="005A7D39">
        <w:rPr>
          <w:b/>
          <w:noProof/>
          <w:sz w:val="24"/>
        </w:rPr>
        <w:t xml:space="preserve"> - </w:t>
      </w:r>
      <w:r>
        <w:rPr>
          <w:b/>
          <w:noProof/>
          <w:sz w:val="24"/>
        </w:rPr>
        <w:t>3</w:t>
      </w:r>
      <w:r>
        <w:rPr>
          <w:b/>
          <w:noProof/>
          <w:sz w:val="24"/>
          <w:vertAlign w:val="superscript"/>
        </w:rPr>
        <w:t>rd</w:t>
      </w:r>
      <w:r w:rsidR="005A7D39">
        <w:rPr>
          <w:b/>
          <w:noProof/>
          <w:sz w:val="24"/>
        </w:rPr>
        <w:t xml:space="preserve"> </w:t>
      </w:r>
      <w:r>
        <w:rPr>
          <w:b/>
          <w:noProof/>
          <w:sz w:val="24"/>
        </w:rPr>
        <w:t>Mars</w:t>
      </w:r>
      <w:r w:rsidR="00AC1D3D" w:rsidRPr="00BA51D9">
        <w:rPr>
          <w:b/>
          <w:noProof/>
          <w:sz w:val="24"/>
        </w:rPr>
        <w:t xml:space="preserve"> </w:t>
      </w:r>
      <w:r w:rsidR="00AC1D3D">
        <w:rPr>
          <w:b/>
          <w:noProof/>
          <w:sz w:val="24"/>
        </w:rPr>
        <w:t>201</w:t>
      </w:r>
      <w:r>
        <w:rPr>
          <w:b/>
          <w:noProof/>
          <w:sz w:val="24"/>
        </w:rPr>
        <w:t>8</w:t>
      </w:r>
      <w:r w:rsidR="00983540">
        <w:rPr>
          <w:b/>
          <w:noProof/>
          <w:sz w:val="24"/>
        </w:rPr>
        <w:fldChar w:fldCharType="end"/>
      </w:r>
    </w:p>
    <w:p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rsidR="00AC1D3D" w:rsidRDefault="00AC1D3D" w:rsidP="00AC1D3D">
      <w:pPr>
        <w:pStyle w:val="Footer"/>
        <w:jc w:val="both"/>
        <w:rPr>
          <w:noProof w:val="0"/>
        </w:rPr>
      </w:pPr>
    </w:p>
    <w:p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A113A2">
        <w:rPr>
          <w:rFonts w:ascii="Arial" w:hAnsi="Arial"/>
          <w:sz w:val="24"/>
        </w:rPr>
        <w:t>6.17.3</w:t>
      </w:r>
      <w:bookmarkStart w:id="0" w:name="_GoBack"/>
      <w:bookmarkEnd w:id="0"/>
    </w:p>
    <w:p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EA0E17">
        <w:rPr>
          <w:rFonts w:ascii="Arial" w:hAnsi="Arial"/>
          <w:sz w:val="24"/>
        </w:rPr>
        <w:t xml:space="preserve">eV2XRRM Requirements </w:t>
      </w:r>
      <w:r w:rsidR="00EC7B80">
        <w:rPr>
          <w:rFonts w:ascii="Arial" w:hAnsi="Arial"/>
          <w:sz w:val="24"/>
        </w:rPr>
        <w:t>for</w:t>
      </w:r>
      <w:r w:rsidR="00EA0E17">
        <w:rPr>
          <w:rFonts w:ascii="Arial" w:hAnsi="Arial"/>
          <w:sz w:val="24"/>
        </w:rPr>
        <w:t xml:space="preserve"> Support CA</w:t>
      </w:r>
    </w:p>
    <w:p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rsidR="00AC1D3D" w:rsidRDefault="00AC1D3D" w:rsidP="00AC1D3D">
      <w:pPr>
        <w:pStyle w:val="Heading1"/>
      </w:pPr>
      <w:r w:rsidRPr="001C39F7">
        <w:t>Introduction</w:t>
      </w:r>
    </w:p>
    <w:p w:rsidR="00EA0E17" w:rsidRPr="00A02443" w:rsidRDefault="00EA0E17" w:rsidP="0099786A">
      <w:pPr>
        <w:pStyle w:val="B1"/>
        <w:ind w:left="0" w:firstLine="0"/>
      </w:pPr>
      <w:r w:rsidRPr="00A02443">
        <w:t>In RAN4 meeting #85, the following agreements has been agreed for the RRM requirements supporting CA:</w:t>
      </w:r>
    </w:p>
    <w:p w:rsidR="001F3CF6" w:rsidRPr="00A02443" w:rsidRDefault="00AF0CA0" w:rsidP="00EA0E17">
      <w:pPr>
        <w:pStyle w:val="B1"/>
        <w:numPr>
          <w:ilvl w:val="0"/>
          <w:numId w:val="46"/>
        </w:numPr>
        <w:rPr>
          <w:lang w:val="en-US"/>
        </w:rPr>
      </w:pPr>
      <w:r w:rsidRPr="00A02443">
        <w:rPr>
          <w:lang w:val="en-US"/>
        </w:rPr>
        <w:t>The existing requirements on selection/reselection of V2X SyncRef UE are applied for the component carrier(s) configured as the synchronization carrier.</w:t>
      </w:r>
    </w:p>
    <w:p w:rsidR="001F3CF6" w:rsidRPr="00A02443" w:rsidRDefault="00AF0CA0" w:rsidP="00EA0E17">
      <w:pPr>
        <w:pStyle w:val="B1"/>
        <w:numPr>
          <w:ilvl w:val="0"/>
          <w:numId w:val="46"/>
        </w:numPr>
        <w:rPr>
          <w:lang w:val="en-US"/>
        </w:rPr>
      </w:pPr>
      <w:r w:rsidRPr="00A02443">
        <w:rPr>
          <w:lang w:val="en-US"/>
        </w:rPr>
        <w:t>The delay and interruption requirements for CC addition/release based on dedicated RRC signaling need be introduced.</w:t>
      </w:r>
    </w:p>
    <w:p w:rsidR="001F3CF6" w:rsidRPr="00A02443" w:rsidRDefault="00AF0CA0" w:rsidP="00EA0E17">
      <w:pPr>
        <w:pStyle w:val="B1"/>
        <w:numPr>
          <w:ilvl w:val="1"/>
          <w:numId w:val="46"/>
        </w:numPr>
        <w:rPr>
          <w:lang w:val="en-US"/>
        </w:rPr>
      </w:pPr>
      <w:r w:rsidRPr="00A02443">
        <w:rPr>
          <w:lang w:val="en-US"/>
        </w:rPr>
        <w:t>FFS whether there is interruption to PCell and activated SCell on Uu link(s).</w:t>
      </w:r>
    </w:p>
    <w:p w:rsidR="001F3CF6" w:rsidRPr="00A02443" w:rsidRDefault="00AF0CA0" w:rsidP="00EA0E17">
      <w:pPr>
        <w:pStyle w:val="B1"/>
        <w:numPr>
          <w:ilvl w:val="1"/>
          <w:numId w:val="46"/>
        </w:numPr>
        <w:rPr>
          <w:lang w:val="en-US"/>
        </w:rPr>
      </w:pPr>
      <w:r w:rsidRPr="00A02443">
        <w:rPr>
          <w:lang w:val="en-US"/>
        </w:rPr>
        <w:t>FFS on RRC processing time (24ms delay, including 15ms, re use CA requirement)</w:t>
      </w:r>
    </w:p>
    <w:p w:rsidR="001F3CF6" w:rsidRPr="00A02443" w:rsidRDefault="00AF0CA0" w:rsidP="00EA0E17">
      <w:pPr>
        <w:pStyle w:val="B1"/>
        <w:numPr>
          <w:ilvl w:val="1"/>
          <w:numId w:val="46"/>
        </w:numPr>
        <w:rPr>
          <w:lang w:val="en-US"/>
        </w:rPr>
      </w:pPr>
      <w:r w:rsidRPr="00A02443">
        <w:rPr>
          <w:lang w:val="en-US"/>
        </w:rPr>
        <w:t xml:space="preserve">FFS on RF tuning/retuning time in the case of transmission timing alignment for all CCs aggregated for V2X </w:t>
      </w:r>
    </w:p>
    <w:p w:rsidR="00EA0E17" w:rsidRPr="00A02443" w:rsidRDefault="00EA0E17" w:rsidP="0099786A">
      <w:pPr>
        <w:pStyle w:val="B1"/>
        <w:ind w:left="0" w:firstLine="0"/>
      </w:pPr>
      <w:r w:rsidRPr="00A02443">
        <w:t xml:space="preserve">We will discuss in this paper the delay and interruption requirements for CC addition/release based on dedicated RRC signalling in </w:t>
      </w:r>
      <w:r w:rsidR="0069683C" w:rsidRPr="00A02443">
        <w:t>Section 2. We also quickly revisit the agreement on synchronisation carrier since in Section 3 it seems to be ambiguous and not very well aligned with the ongoing discussion in RAN1.</w:t>
      </w:r>
    </w:p>
    <w:p w:rsidR="00AC1D3D" w:rsidRPr="00803C4C" w:rsidRDefault="0069683C" w:rsidP="00AC1D3D">
      <w:pPr>
        <w:pStyle w:val="Heading1"/>
        <w:rPr>
          <w:rFonts w:cs="Arial"/>
        </w:rPr>
      </w:pPr>
      <w:r w:rsidRPr="00803C4C">
        <w:rPr>
          <w:rFonts w:cs="Arial"/>
        </w:rPr>
        <w:t>Delay and I</w:t>
      </w:r>
      <w:r w:rsidR="00845194" w:rsidRPr="00803C4C">
        <w:rPr>
          <w:rFonts w:cs="Arial"/>
        </w:rPr>
        <w:t>n</w:t>
      </w:r>
      <w:r w:rsidRPr="00803C4C">
        <w:rPr>
          <w:rFonts w:cs="Arial"/>
        </w:rPr>
        <w:t>terruption</w:t>
      </w:r>
      <w:r w:rsidR="00845194" w:rsidRPr="00803C4C">
        <w:rPr>
          <w:rFonts w:cs="Arial"/>
        </w:rPr>
        <w:t xml:space="preserve"> </w:t>
      </w:r>
      <w:r w:rsidR="00845194" w:rsidRPr="00803C4C">
        <w:rPr>
          <w:rFonts w:eastAsia="Times New Roman" w:cs="Arial"/>
          <w:lang w:val="en-US" w:eastAsia="en-GB"/>
        </w:rPr>
        <w:t>requirements for CC addition/release based on dedicated RRC signaling</w:t>
      </w:r>
    </w:p>
    <w:p w:rsidR="008D5D39" w:rsidRDefault="00845194" w:rsidP="008D5D39">
      <w:pPr>
        <w:pStyle w:val="Heading2"/>
      </w:pPr>
      <w:r>
        <w:t>Interruption</w:t>
      </w:r>
    </w:p>
    <w:p w:rsidR="00845194" w:rsidRPr="00A02443" w:rsidRDefault="00845194" w:rsidP="00845194">
      <w:pPr>
        <w:pStyle w:val="TableNo"/>
        <w:spacing w:before="0" w:after="0"/>
        <w:jc w:val="left"/>
        <w:rPr>
          <w:rFonts w:eastAsia="Malgun Gothic"/>
          <w:sz w:val="22"/>
          <w:szCs w:val="22"/>
          <w:lang w:val="en-GB" w:eastAsia="ko-KR"/>
        </w:rPr>
      </w:pPr>
      <w:r w:rsidRPr="00A02443">
        <w:rPr>
          <w:rFonts w:eastAsia="Malgun Gothic"/>
          <w:sz w:val="22"/>
          <w:szCs w:val="22"/>
          <w:lang w:val="en-GB" w:eastAsia="ko-KR"/>
        </w:rPr>
        <w:t>From the UE implementation point of view, the interruption arise from the need to configure/reconfigure and tuning/retuning RF chains in order to add/release CCs. In this respect, V2X Service CA is no different than normal LTE CA. Hence the same set requirements are applicable.</w:t>
      </w:r>
    </w:p>
    <w:p w:rsidR="00845194" w:rsidRPr="00A02443" w:rsidRDefault="00845194" w:rsidP="00845194">
      <w:pPr>
        <w:pStyle w:val="TableNo"/>
        <w:spacing w:before="0" w:after="0"/>
        <w:jc w:val="left"/>
        <w:rPr>
          <w:rFonts w:eastAsia="Malgun Gothic"/>
          <w:sz w:val="22"/>
          <w:szCs w:val="22"/>
          <w:lang w:val="en-GB" w:eastAsia="ko-KR"/>
        </w:rPr>
      </w:pPr>
    </w:p>
    <w:p w:rsidR="002E442F" w:rsidRPr="00A02443" w:rsidRDefault="00845194" w:rsidP="00845194">
      <w:pPr>
        <w:pStyle w:val="TableNo"/>
        <w:spacing w:before="0" w:after="0"/>
        <w:jc w:val="left"/>
        <w:rPr>
          <w:rFonts w:eastAsia="Malgun Gothic"/>
          <w:sz w:val="22"/>
          <w:szCs w:val="22"/>
          <w:lang w:val="en-GB" w:eastAsia="ko-KR"/>
        </w:rPr>
      </w:pPr>
      <w:r w:rsidRPr="00A02443">
        <w:rPr>
          <w:rFonts w:eastAsia="Malgun Gothic"/>
          <w:sz w:val="22"/>
          <w:szCs w:val="22"/>
          <w:lang w:val="en-GB" w:eastAsia="ko-KR"/>
        </w:rPr>
        <w:t xml:space="preserve">Furthermore, even though currently V2X Service is not defined in the same band with normal LTE service in RF specification, RRM spec should be generic enough to encompass </w:t>
      </w:r>
      <w:r w:rsidR="002E442F" w:rsidRPr="00A02443">
        <w:rPr>
          <w:rFonts w:eastAsia="Malgun Gothic"/>
          <w:sz w:val="22"/>
          <w:szCs w:val="22"/>
          <w:lang w:val="en-GB" w:eastAsia="ko-KR"/>
        </w:rPr>
        <w:t>all possible deployment. So, we think that it’s also good to specify interruption requirements for this case, given that there is no controversial.</w:t>
      </w:r>
    </w:p>
    <w:p w:rsidR="002E442F" w:rsidRPr="00A02443" w:rsidRDefault="002E442F" w:rsidP="00845194">
      <w:pPr>
        <w:pStyle w:val="TableNo"/>
        <w:spacing w:before="0" w:after="0"/>
        <w:jc w:val="left"/>
        <w:rPr>
          <w:rFonts w:eastAsia="Malgun Gothic"/>
          <w:sz w:val="22"/>
          <w:szCs w:val="22"/>
          <w:lang w:val="en-GB" w:eastAsia="ko-KR"/>
        </w:rPr>
      </w:pPr>
    </w:p>
    <w:p w:rsidR="00845194" w:rsidRPr="00A02443" w:rsidRDefault="002E442F" w:rsidP="002E442F">
      <w:pPr>
        <w:pStyle w:val="TableNo"/>
        <w:spacing w:before="0" w:after="0"/>
        <w:jc w:val="left"/>
        <w:rPr>
          <w:rFonts w:eastAsia="Malgun Gothic"/>
          <w:sz w:val="22"/>
          <w:szCs w:val="22"/>
          <w:lang w:val="en-GB" w:eastAsia="ko-KR"/>
        </w:rPr>
      </w:pPr>
      <w:r w:rsidRPr="00A02443">
        <w:rPr>
          <w:rFonts w:eastAsia="Malgun Gothic"/>
          <w:sz w:val="22"/>
          <w:szCs w:val="22"/>
          <w:lang w:val="en-GB" w:eastAsia="ko-KR"/>
        </w:rPr>
        <w:t>In conclusion, the interruption requirements for CC addition/release based on dedicated RRC signalling are as follows:</w:t>
      </w:r>
    </w:p>
    <w:p w:rsidR="002E442F" w:rsidRPr="00A02443" w:rsidRDefault="002E442F" w:rsidP="002E442F">
      <w:pPr>
        <w:rPr>
          <w:rFonts w:ascii="Times New Roman" w:hAnsi="Times New Roman" w:cs="Times New Roman"/>
          <w:lang w:val="en-GB" w:eastAsia="ko-KR"/>
        </w:rPr>
      </w:pPr>
    </w:p>
    <w:p w:rsidR="002E442F" w:rsidRPr="00A02443" w:rsidRDefault="002E442F" w:rsidP="002E442F">
      <w:pPr>
        <w:pStyle w:val="Heading4"/>
        <w:numPr>
          <w:ilvl w:val="0"/>
          <w:numId w:val="0"/>
        </w:numPr>
        <w:rPr>
          <w:rFonts w:ascii="Times New Roman" w:hAnsi="Times New Roman"/>
          <w:sz w:val="22"/>
          <w:szCs w:val="22"/>
          <w:highlight w:val="yellow"/>
        </w:rPr>
      </w:pPr>
      <w:bookmarkStart w:id="1" w:name="_Toc383690775"/>
      <w:r w:rsidRPr="00A02443">
        <w:rPr>
          <w:rFonts w:ascii="Times New Roman" w:hAnsi="Times New Roman"/>
          <w:sz w:val="22"/>
          <w:szCs w:val="22"/>
          <w:highlight w:val="yellow"/>
        </w:rPr>
        <w:t xml:space="preserve">Interruptions at V2X CC addition/release </w:t>
      </w:r>
      <w:bookmarkEnd w:id="1"/>
    </w:p>
    <w:p w:rsidR="005E006F" w:rsidRPr="00A02443" w:rsidRDefault="005E006F" w:rsidP="005E006F">
      <w:pPr>
        <w:rPr>
          <w:rFonts w:ascii="Times New Roman" w:hAnsi="Times New Roman" w:cs="Times New Roman"/>
          <w:highlight w:val="yellow"/>
        </w:rPr>
      </w:pPr>
      <w:r w:rsidRPr="00A02443">
        <w:rPr>
          <w:rFonts w:ascii="Times New Roman" w:hAnsi="Times New Roman" w:cs="Times New Roman"/>
          <w:highlight w:val="yellow"/>
        </w:rPr>
        <w:t xml:space="preserve">When any number of V2X CC </w:t>
      </w:r>
      <w:r w:rsidR="000A6AA0" w:rsidRPr="00A02443">
        <w:rPr>
          <w:rFonts w:ascii="Times New Roman" w:hAnsi="Times New Roman" w:cs="Times New Roman"/>
          <w:highlight w:val="yellow"/>
        </w:rPr>
        <w:t xml:space="preserve">is </w:t>
      </w:r>
      <w:r w:rsidRPr="00A02443">
        <w:rPr>
          <w:rFonts w:ascii="Times New Roman" w:hAnsi="Times New Roman" w:cs="Times New Roman"/>
          <w:highlight w:val="yellow"/>
        </w:rPr>
        <w:t>add</w:t>
      </w:r>
      <w:r w:rsidR="000A6AA0" w:rsidRPr="00A02443">
        <w:rPr>
          <w:rFonts w:ascii="Times New Roman" w:hAnsi="Times New Roman" w:cs="Times New Roman"/>
          <w:highlight w:val="yellow"/>
        </w:rPr>
        <w:t>ed</w:t>
      </w:r>
      <w:r w:rsidRPr="00A02443">
        <w:rPr>
          <w:rFonts w:ascii="Times New Roman" w:hAnsi="Times New Roman" w:cs="Times New Roman"/>
          <w:highlight w:val="yellow"/>
        </w:rPr>
        <w:t>/release</w:t>
      </w:r>
      <w:r w:rsidR="000A6AA0" w:rsidRPr="00A02443">
        <w:rPr>
          <w:rFonts w:ascii="Times New Roman" w:hAnsi="Times New Roman" w:cs="Times New Roman"/>
          <w:highlight w:val="yellow"/>
        </w:rPr>
        <w:t>d by dedicated RRC signalling</w:t>
      </w:r>
      <w:r w:rsidRPr="00A02443">
        <w:rPr>
          <w:rFonts w:ascii="Times New Roman" w:hAnsi="Times New Roman" w:cs="Times New Roman"/>
          <w:highlight w:val="yellow"/>
        </w:rPr>
        <w:t xml:space="preserve">, the UE is allowed an interruption on PCell and on any activated SCell during the RRC reconfiguration procedure as follows: </w:t>
      </w:r>
    </w:p>
    <w:p w:rsidR="005E006F" w:rsidRPr="00A02443" w:rsidRDefault="005E006F" w:rsidP="000A6AA0">
      <w:pPr>
        <w:pStyle w:val="B1"/>
        <w:numPr>
          <w:ilvl w:val="0"/>
          <w:numId w:val="46"/>
        </w:numPr>
        <w:rPr>
          <w:highlight w:val="yellow"/>
        </w:rPr>
      </w:pPr>
      <w:r w:rsidRPr="00A02443">
        <w:rPr>
          <w:highlight w:val="yellow"/>
        </w:rPr>
        <w:t>an interruption on PCell:</w:t>
      </w:r>
    </w:p>
    <w:p w:rsidR="005E006F" w:rsidRPr="00A02443" w:rsidRDefault="005E006F" w:rsidP="000A6AA0">
      <w:pPr>
        <w:pStyle w:val="B2"/>
        <w:numPr>
          <w:ilvl w:val="1"/>
          <w:numId w:val="46"/>
        </w:numPr>
        <w:rPr>
          <w:sz w:val="22"/>
          <w:szCs w:val="22"/>
          <w:highlight w:val="yellow"/>
        </w:rPr>
      </w:pPr>
      <w:r w:rsidRPr="00A02443">
        <w:rPr>
          <w:sz w:val="22"/>
          <w:szCs w:val="22"/>
          <w:highlight w:val="yellow"/>
        </w:rPr>
        <w:lastRenderedPageBreak/>
        <w:t xml:space="preserve">of up to 1 subframe, if the PCell is not in the same band as any of the </w:t>
      </w:r>
      <w:r w:rsidR="000A6AA0" w:rsidRPr="00A02443">
        <w:rPr>
          <w:sz w:val="22"/>
          <w:szCs w:val="22"/>
          <w:highlight w:val="yellow"/>
        </w:rPr>
        <w:t>V2X CCs</w:t>
      </w:r>
      <w:r w:rsidRPr="00A02443">
        <w:rPr>
          <w:sz w:val="22"/>
          <w:szCs w:val="22"/>
          <w:highlight w:val="yellow"/>
        </w:rPr>
        <w:t xml:space="preserve"> being added or released, or </w:t>
      </w:r>
    </w:p>
    <w:p w:rsidR="005E006F" w:rsidRPr="00A02443" w:rsidRDefault="005E006F" w:rsidP="000A6AA0">
      <w:pPr>
        <w:pStyle w:val="B2"/>
        <w:numPr>
          <w:ilvl w:val="1"/>
          <w:numId w:val="46"/>
        </w:numPr>
        <w:rPr>
          <w:sz w:val="22"/>
          <w:szCs w:val="22"/>
          <w:highlight w:val="yellow"/>
        </w:rPr>
      </w:pPr>
      <w:r w:rsidRPr="00A02443">
        <w:rPr>
          <w:sz w:val="22"/>
          <w:szCs w:val="22"/>
          <w:highlight w:val="yellow"/>
        </w:rPr>
        <w:t xml:space="preserve">of up to 5 subframes, if the PCell is in the same band as any of the </w:t>
      </w:r>
      <w:r w:rsidR="000A6AA0" w:rsidRPr="00A02443">
        <w:rPr>
          <w:sz w:val="22"/>
          <w:szCs w:val="22"/>
          <w:highlight w:val="yellow"/>
        </w:rPr>
        <w:t xml:space="preserve">V2X CCs </w:t>
      </w:r>
      <w:r w:rsidRPr="00A02443">
        <w:rPr>
          <w:sz w:val="22"/>
          <w:szCs w:val="22"/>
          <w:highlight w:val="yellow"/>
        </w:rPr>
        <w:t>being added or released;</w:t>
      </w:r>
    </w:p>
    <w:p w:rsidR="005E006F" w:rsidRPr="00A02443" w:rsidRDefault="005E006F" w:rsidP="000A6AA0">
      <w:pPr>
        <w:pStyle w:val="B1"/>
        <w:numPr>
          <w:ilvl w:val="0"/>
          <w:numId w:val="46"/>
        </w:numPr>
        <w:rPr>
          <w:highlight w:val="yellow"/>
        </w:rPr>
      </w:pPr>
      <w:r w:rsidRPr="00A02443">
        <w:rPr>
          <w:highlight w:val="yellow"/>
        </w:rPr>
        <w:t xml:space="preserve">an interruption on any activated SCell:  </w:t>
      </w:r>
    </w:p>
    <w:p w:rsidR="005E006F" w:rsidRPr="00A02443" w:rsidRDefault="005E006F" w:rsidP="000A6AA0">
      <w:pPr>
        <w:pStyle w:val="B2"/>
        <w:numPr>
          <w:ilvl w:val="1"/>
          <w:numId w:val="46"/>
        </w:numPr>
        <w:rPr>
          <w:sz w:val="22"/>
          <w:szCs w:val="22"/>
          <w:highlight w:val="yellow"/>
        </w:rPr>
      </w:pPr>
      <w:r w:rsidRPr="00A02443">
        <w:rPr>
          <w:sz w:val="22"/>
          <w:szCs w:val="22"/>
          <w:highlight w:val="yellow"/>
        </w:rPr>
        <w:t xml:space="preserve">of up to 1 subframe, if the activated SCell is not in the same band as any of the </w:t>
      </w:r>
      <w:r w:rsidR="000A6AA0" w:rsidRPr="00A02443">
        <w:rPr>
          <w:sz w:val="22"/>
          <w:szCs w:val="22"/>
          <w:highlight w:val="yellow"/>
        </w:rPr>
        <w:t>V2X CCs</w:t>
      </w:r>
      <w:r w:rsidRPr="00A02443">
        <w:rPr>
          <w:sz w:val="22"/>
          <w:szCs w:val="22"/>
          <w:highlight w:val="yellow"/>
        </w:rPr>
        <w:t xml:space="preserve"> being added or released, or </w:t>
      </w:r>
    </w:p>
    <w:p w:rsidR="005E006F" w:rsidRPr="00A02443" w:rsidRDefault="005E006F" w:rsidP="000A6AA0">
      <w:pPr>
        <w:pStyle w:val="B2"/>
        <w:numPr>
          <w:ilvl w:val="1"/>
          <w:numId w:val="46"/>
        </w:numPr>
        <w:rPr>
          <w:sz w:val="22"/>
          <w:szCs w:val="22"/>
          <w:highlight w:val="yellow"/>
        </w:rPr>
      </w:pPr>
      <w:r w:rsidRPr="00A02443">
        <w:rPr>
          <w:sz w:val="22"/>
          <w:szCs w:val="22"/>
          <w:highlight w:val="yellow"/>
        </w:rPr>
        <w:t xml:space="preserve">of up to 5 subframes, if the activated SCell is in the same band as any of the </w:t>
      </w:r>
      <w:r w:rsidR="000A6AA0" w:rsidRPr="00A02443">
        <w:rPr>
          <w:sz w:val="22"/>
          <w:szCs w:val="22"/>
          <w:highlight w:val="yellow"/>
        </w:rPr>
        <w:t>V2X CCs</w:t>
      </w:r>
      <w:r w:rsidRPr="00A02443">
        <w:rPr>
          <w:sz w:val="22"/>
          <w:szCs w:val="22"/>
          <w:highlight w:val="yellow"/>
        </w:rPr>
        <w:t xml:space="preserve"> being added or released.</w:t>
      </w:r>
    </w:p>
    <w:p w:rsidR="002E442F" w:rsidRPr="00A02443" w:rsidRDefault="000A6AA0" w:rsidP="002E442F">
      <w:pPr>
        <w:pStyle w:val="B2"/>
        <w:numPr>
          <w:ilvl w:val="0"/>
          <w:numId w:val="46"/>
        </w:numPr>
        <w:rPr>
          <w:sz w:val="22"/>
          <w:szCs w:val="22"/>
          <w:highlight w:val="yellow"/>
        </w:rPr>
      </w:pPr>
      <w:r w:rsidRPr="00A02443">
        <w:rPr>
          <w:sz w:val="22"/>
          <w:szCs w:val="22"/>
          <w:highlight w:val="yellow"/>
        </w:rPr>
        <w:t>The interruption apply to both UL and DL of PCell and SCell.</w:t>
      </w:r>
    </w:p>
    <w:p w:rsidR="000A6AA0" w:rsidRPr="00A02443" w:rsidRDefault="000A6AA0" w:rsidP="000A6AA0">
      <w:pPr>
        <w:pStyle w:val="ListParagraph"/>
        <w:numPr>
          <w:ilvl w:val="0"/>
          <w:numId w:val="46"/>
        </w:numPr>
        <w:rPr>
          <w:rFonts w:ascii="Times New Roman" w:hAnsi="Times New Roman" w:cs="Times New Roman"/>
          <w:highlight w:val="yellow"/>
        </w:rPr>
      </w:pPr>
      <w:r w:rsidRPr="00A02443">
        <w:rPr>
          <w:rFonts w:ascii="Times New Roman" w:hAnsi="Times New Roman" w:cs="Times New Roman"/>
          <w:highlight w:val="yellow"/>
        </w:rPr>
        <w:t xml:space="preserve">If a UE is commanded by the network to sequentially add/release V2X CCs, and a new procedure of addition/release of CC(s) takes place before the completion of previous, the interruptions on PCell due to sequential addition/release of V2X CCs shall not exceed the sum of the allowed interruptions on the PCell caused by each of the addition/release procedures, and the interruptions on already activated SCell due to sequential addition/release of V2X CC(s) shall not exceed the sum of the allowed interruptions on the SCell caused by each of the addition/release procedures, as defined </w:t>
      </w:r>
      <w:r w:rsidR="00A02443">
        <w:rPr>
          <w:rFonts w:ascii="Times New Roman" w:hAnsi="Times New Roman" w:cs="Times New Roman"/>
          <w:highlight w:val="yellow"/>
        </w:rPr>
        <w:t>ab</w:t>
      </w:r>
      <w:r w:rsidRPr="00A02443">
        <w:rPr>
          <w:rFonts w:ascii="Times New Roman" w:hAnsi="Times New Roman" w:cs="Times New Roman"/>
          <w:highlight w:val="yellow"/>
        </w:rPr>
        <w:t>ove.</w:t>
      </w:r>
    </w:p>
    <w:p w:rsidR="00A822D9" w:rsidRDefault="00845194" w:rsidP="00A822D9">
      <w:pPr>
        <w:pStyle w:val="Heading2"/>
      </w:pPr>
      <w:r>
        <w:t>Delay</w:t>
      </w:r>
      <w:r w:rsidR="005E006F">
        <w:t xml:space="preserve"> </w:t>
      </w:r>
    </w:p>
    <w:p w:rsidR="007E052F" w:rsidRPr="00803C4C" w:rsidRDefault="007E052F" w:rsidP="009568AD">
      <w:pPr>
        <w:rPr>
          <w:rFonts w:ascii="Times New Roman" w:hAnsi="Times New Roman" w:cs="Times New Roman"/>
          <w:lang w:val="en-GB"/>
        </w:rPr>
      </w:pPr>
      <w:r w:rsidRPr="00803C4C">
        <w:rPr>
          <w:rFonts w:ascii="Times New Roman" w:hAnsi="Times New Roman" w:cs="Times New Roman"/>
          <w:lang w:val="en-GB"/>
        </w:rPr>
        <w:t>For the delay requirement, the LTE CA delay requirement is 24ms for a single SCell activation, given that the cell was successfully measured before the activation command and remain detectable after the command. If not, another 10ms is added to get 34ms, given that the cell can be detected after the first attempt. If multiple activation commands are overlapping, a certain further amount of delay is added for each overlapping commands. At the end of this process, the delay can be verified by checking the UE CSI reporting.</w:t>
      </w:r>
    </w:p>
    <w:p w:rsidR="007F2DAA" w:rsidRPr="00803C4C" w:rsidRDefault="007E052F" w:rsidP="007F2DAA">
      <w:pPr>
        <w:rPr>
          <w:rFonts w:ascii="Times New Roman" w:hAnsi="Times New Roman" w:cs="Times New Roman"/>
          <w:lang w:val="en-GB"/>
        </w:rPr>
      </w:pPr>
      <w:r w:rsidRPr="00803C4C">
        <w:rPr>
          <w:rFonts w:ascii="Times New Roman" w:hAnsi="Times New Roman" w:cs="Times New Roman"/>
          <w:lang w:val="en-GB"/>
        </w:rPr>
        <w:t xml:space="preserve">For </w:t>
      </w:r>
      <w:r w:rsidR="007F2DAA" w:rsidRPr="00803C4C">
        <w:rPr>
          <w:rFonts w:ascii="Times New Roman" w:hAnsi="Times New Roman" w:cs="Times New Roman"/>
          <w:lang w:val="en-GB"/>
        </w:rPr>
        <w:t xml:space="preserve">V2X, it’s agreed in RAN2 that there is no need to separate the notion of add and activating a carrier since a carrier will be activated as soon as it is added. From application point of view, there </w:t>
      </w:r>
      <w:r w:rsidR="002125F2">
        <w:rPr>
          <w:rFonts w:ascii="Times New Roman" w:hAnsi="Times New Roman" w:cs="Times New Roman"/>
          <w:lang w:val="en-GB"/>
        </w:rPr>
        <w:t>is no clear definition of carrier addition delay in the V2X context</w:t>
      </w:r>
      <w:r w:rsidR="007F2DAA" w:rsidRPr="00803C4C">
        <w:rPr>
          <w:rFonts w:ascii="Times New Roman" w:hAnsi="Times New Roman" w:cs="Times New Roman"/>
          <w:lang w:val="en-GB"/>
        </w:rPr>
        <w:t xml:space="preserve">. First of all, there is no regular measurement reporting(CSI, CQI, RSRP, RSRQ, etc.)  mechanism on V2X carriers. So, the purpose for adding a carrier as soon as possible is to receive from other UEs as soon as possible. But the typical traffic in V2X are periodical traffic that will be (almost) repeated after 100ms. As long as the delay is less than 100ms, at most one packet </w:t>
      </w:r>
      <w:r w:rsidR="002125F2">
        <w:rPr>
          <w:rFonts w:ascii="Times New Roman" w:hAnsi="Times New Roman" w:cs="Times New Roman"/>
          <w:lang w:val="en-GB"/>
        </w:rPr>
        <w:t>is missed from each other UEs. Similar type of arguments can also be applied to cell release delay.</w:t>
      </w:r>
    </w:p>
    <w:p w:rsidR="007F2DAA" w:rsidRPr="00803C4C" w:rsidRDefault="007F2DAA" w:rsidP="007F2DAA">
      <w:pPr>
        <w:rPr>
          <w:rFonts w:ascii="Times New Roman" w:hAnsi="Times New Roman" w:cs="Times New Roman"/>
          <w:lang w:val="en-GB"/>
        </w:rPr>
      </w:pPr>
      <w:r w:rsidRPr="00803C4C">
        <w:rPr>
          <w:rFonts w:ascii="Times New Roman" w:hAnsi="Times New Roman" w:cs="Times New Roman"/>
          <w:lang w:val="en-GB"/>
        </w:rPr>
        <w:t xml:space="preserve">From this understanding, we think </w:t>
      </w:r>
      <w:r w:rsidR="002125F2">
        <w:rPr>
          <w:rFonts w:ascii="Times New Roman" w:hAnsi="Times New Roman" w:cs="Times New Roman"/>
          <w:lang w:val="en-GB"/>
        </w:rPr>
        <w:t>that some further discussion is needed to clearly define the meaning of cell addition/release in the V2X context. Then, based on that understanding, RAN4 may consider if delay requirements are needed and how much delay are needed for the system to work.</w:t>
      </w:r>
    </w:p>
    <w:p w:rsidR="00803C4C" w:rsidRPr="00803C4C" w:rsidRDefault="00803C4C" w:rsidP="007F2DAA">
      <w:pPr>
        <w:rPr>
          <w:rFonts w:ascii="Times New Roman" w:hAnsi="Times New Roman" w:cs="Times New Roman"/>
          <w:lang w:val="en-GB"/>
        </w:rPr>
      </w:pPr>
      <w:r w:rsidRPr="00A02443">
        <w:rPr>
          <w:rFonts w:ascii="Times New Roman" w:hAnsi="Times New Roman" w:cs="Times New Roman"/>
          <w:b/>
          <w:u w:val="single"/>
          <w:lang w:val="en-GB"/>
        </w:rPr>
        <w:t>Proposal</w:t>
      </w:r>
      <w:r w:rsidR="00A02443" w:rsidRPr="00A02443">
        <w:rPr>
          <w:rFonts w:ascii="Times New Roman" w:hAnsi="Times New Roman" w:cs="Times New Roman"/>
          <w:b/>
          <w:u w:val="single"/>
          <w:lang w:val="en-GB"/>
        </w:rPr>
        <w:t xml:space="preserve"> 1</w:t>
      </w:r>
      <w:r w:rsidRPr="00803C4C">
        <w:rPr>
          <w:rFonts w:ascii="Times New Roman" w:hAnsi="Times New Roman" w:cs="Times New Roman"/>
          <w:b/>
          <w:lang w:val="en-GB"/>
        </w:rPr>
        <w:t xml:space="preserve">: </w:t>
      </w:r>
      <w:r w:rsidR="002125F2">
        <w:rPr>
          <w:rFonts w:ascii="Times New Roman" w:hAnsi="Times New Roman" w:cs="Times New Roman"/>
          <w:b/>
          <w:lang w:val="en-GB"/>
        </w:rPr>
        <w:t>need FFS the definition of cell addition/release in the context of V2X.</w:t>
      </w:r>
    </w:p>
    <w:p w:rsidR="00803C4C" w:rsidRPr="00803C4C" w:rsidRDefault="002125F2" w:rsidP="007F2DAA">
      <w:pPr>
        <w:rPr>
          <w:rFonts w:ascii="Times New Roman" w:hAnsi="Times New Roman" w:cs="Times New Roman"/>
          <w:lang w:val="en-GB"/>
        </w:rPr>
      </w:pPr>
      <w:r>
        <w:rPr>
          <w:rFonts w:ascii="Times New Roman" w:hAnsi="Times New Roman" w:cs="Times New Roman"/>
          <w:lang w:val="en-GB"/>
        </w:rPr>
        <w:t xml:space="preserve">One thing is clear </w:t>
      </w:r>
      <w:r w:rsidR="00803C4C" w:rsidRPr="00803C4C">
        <w:rPr>
          <w:rFonts w:ascii="Times New Roman" w:hAnsi="Times New Roman" w:cs="Times New Roman"/>
          <w:lang w:val="en-GB"/>
        </w:rPr>
        <w:t xml:space="preserve">that </w:t>
      </w:r>
      <w:r>
        <w:rPr>
          <w:rFonts w:ascii="Times New Roman" w:hAnsi="Times New Roman" w:cs="Times New Roman"/>
          <w:lang w:val="en-GB"/>
        </w:rPr>
        <w:t>we will</w:t>
      </w:r>
      <w:r w:rsidR="00803C4C" w:rsidRPr="00803C4C">
        <w:rPr>
          <w:rFonts w:ascii="Times New Roman" w:hAnsi="Times New Roman" w:cs="Times New Roman"/>
          <w:lang w:val="en-GB"/>
        </w:rPr>
        <w:t xml:space="preserve"> need to </w:t>
      </w:r>
      <w:r>
        <w:rPr>
          <w:rFonts w:ascii="Times New Roman" w:hAnsi="Times New Roman" w:cs="Times New Roman"/>
          <w:lang w:val="en-GB"/>
        </w:rPr>
        <w:t>specify in this case</w:t>
      </w:r>
      <w:r w:rsidR="00803C4C" w:rsidRPr="00803C4C">
        <w:rPr>
          <w:rFonts w:ascii="Times New Roman" w:hAnsi="Times New Roman" w:cs="Times New Roman"/>
          <w:lang w:val="en-GB"/>
        </w:rPr>
        <w:t xml:space="preserve"> the restriction in the locations that the interruption subframes can occur</w:t>
      </w:r>
      <w:r>
        <w:rPr>
          <w:rFonts w:ascii="Times New Roman" w:hAnsi="Times New Roman" w:cs="Times New Roman"/>
          <w:lang w:val="en-GB"/>
        </w:rPr>
        <w:t>, as that may affect PCell, SCell operation in LTE Uu services</w:t>
      </w:r>
      <w:r w:rsidR="00803C4C" w:rsidRPr="00803C4C">
        <w:rPr>
          <w:rFonts w:ascii="Times New Roman" w:hAnsi="Times New Roman" w:cs="Times New Roman"/>
          <w:lang w:val="en-GB"/>
        </w:rPr>
        <w:t xml:space="preserve">. </w:t>
      </w:r>
    </w:p>
    <w:p w:rsidR="00803C4C" w:rsidRPr="00803C4C" w:rsidRDefault="00803C4C" w:rsidP="007F2DAA">
      <w:pPr>
        <w:rPr>
          <w:rFonts w:ascii="Times New Roman" w:hAnsi="Times New Roman" w:cs="Times New Roman"/>
          <w:b/>
          <w:lang w:val="en-GB"/>
        </w:rPr>
      </w:pPr>
      <w:r w:rsidRPr="00A02443">
        <w:rPr>
          <w:rFonts w:ascii="Times New Roman" w:hAnsi="Times New Roman" w:cs="Times New Roman"/>
          <w:b/>
          <w:u w:val="single"/>
          <w:lang w:val="en-GB"/>
        </w:rPr>
        <w:t>Proposal</w:t>
      </w:r>
      <w:r w:rsidR="00A02443" w:rsidRPr="00A02443">
        <w:rPr>
          <w:rFonts w:ascii="Times New Roman" w:hAnsi="Times New Roman" w:cs="Times New Roman"/>
          <w:b/>
          <w:u w:val="single"/>
          <w:lang w:val="en-GB"/>
        </w:rPr>
        <w:t xml:space="preserve"> 2</w:t>
      </w:r>
      <w:r w:rsidRPr="00803C4C">
        <w:rPr>
          <w:rFonts w:ascii="Times New Roman" w:hAnsi="Times New Roman" w:cs="Times New Roman"/>
          <w:b/>
          <w:lang w:val="en-GB"/>
        </w:rPr>
        <w:t>: FFS the location where the interruption subframes shall occur.</w:t>
      </w:r>
    </w:p>
    <w:p w:rsidR="007F2DAA" w:rsidRPr="007F2DAA" w:rsidRDefault="007F2DAA" w:rsidP="007F2DAA">
      <w:pPr>
        <w:ind w:left="360"/>
        <w:rPr>
          <w:lang w:val="en-GB"/>
        </w:rPr>
      </w:pPr>
      <w:r w:rsidRPr="007F2DAA">
        <w:rPr>
          <w:lang w:val="en-GB"/>
        </w:rPr>
        <w:t xml:space="preserve">   </w:t>
      </w:r>
    </w:p>
    <w:p w:rsidR="00AC1D3D" w:rsidRPr="00803C4C" w:rsidRDefault="00803C4C" w:rsidP="00C84A17">
      <w:pPr>
        <w:pStyle w:val="Heading1"/>
        <w:rPr>
          <w:rFonts w:cs="Arial"/>
        </w:rPr>
      </w:pPr>
      <w:r w:rsidRPr="00803C4C">
        <w:rPr>
          <w:rFonts w:cs="Arial"/>
        </w:rPr>
        <w:lastRenderedPageBreak/>
        <w:t>Requirements</w:t>
      </w:r>
      <w:r w:rsidRPr="00803C4C">
        <w:rPr>
          <w:rFonts w:eastAsia="Times New Roman" w:cs="Arial"/>
          <w:lang w:val="en-US" w:eastAsia="en-GB"/>
        </w:rPr>
        <w:t xml:space="preserve"> on selection/reselection of V2X SyncRef UE</w:t>
      </w:r>
    </w:p>
    <w:p w:rsidR="00F96EB4" w:rsidRPr="00A02443" w:rsidRDefault="005120F9" w:rsidP="00F96EB4">
      <w:pPr>
        <w:rPr>
          <w:rFonts w:ascii="Times New Roman" w:hAnsi="Times New Roman" w:cs="Times New Roman"/>
          <w:lang w:val="en-GB"/>
        </w:rPr>
      </w:pPr>
      <w:r w:rsidRPr="00A02443">
        <w:rPr>
          <w:rFonts w:ascii="Times New Roman" w:hAnsi="Times New Roman" w:cs="Times New Roman"/>
          <w:lang w:val="en-GB"/>
        </w:rPr>
        <w:t>The agreement in [] regarding this requirement is:</w:t>
      </w:r>
    </w:p>
    <w:p w:rsidR="005120F9" w:rsidRPr="00A02443" w:rsidRDefault="005120F9" w:rsidP="005120F9">
      <w:pPr>
        <w:pStyle w:val="B1"/>
        <w:numPr>
          <w:ilvl w:val="0"/>
          <w:numId w:val="46"/>
        </w:numPr>
        <w:rPr>
          <w:highlight w:val="yellow"/>
          <w:lang w:val="en-US"/>
        </w:rPr>
      </w:pPr>
      <w:r w:rsidRPr="00A02443">
        <w:rPr>
          <w:highlight w:val="yellow"/>
          <w:lang w:val="en-US"/>
        </w:rPr>
        <w:t>The existing requirements on selection/reselection of V2X SyncRef UE are applied for the component carrier(s) configured as the synchronization carrier.</w:t>
      </w:r>
    </w:p>
    <w:p w:rsidR="005120F9" w:rsidRPr="00A02443" w:rsidRDefault="005120F9" w:rsidP="00F96EB4">
      <w:pPr>
        <w:rPr>
          <w:rFonts w:ascii="Times New Roman" w:hAnsi="Times New Roman" w:cs="Times New Roman"/>
          <w:lang w:val="en-GB"/>
        </w:rPr>
      </w:pPr>
      <w:r w:rsidRPr="00A02443">
        <w:rPr>
          <w:rFonts w:ascii="Times New Roman" w:hAnsi="Times New Roman" w:cs="Times New Roman"/>
          <w:lang w:val="en-GB"/>
        </w:rPr>
        <w:t>However, there are 2 ways to understand this wording. The first way is that UE supporting CA has to follow the same R14 syncref selection/reselection procedure for each carrier components. However, the syncref selection/reselection procedure is out of RAN4 scope and still under debate in RAN1. What is  in RAN4 scope is the measurement requirements that trigger the syncref selection/reselection event. This leads to the second possible interpretation of the agreement, that the measurement requirement itself applies per component carriers. Although this second interpretation is more agreeable, it may still arise the case where it can be contradicted by new RAN1 agreement. For this reason, we think that it is premature to make any agreement in RAN4 regarding this requirement until RAN1 has come to a conclusion on the mater.</w:t>
      </w:r>
    </w:p>
    <w:p w:rsidR="00F96EB4" w:rsidRPr="00A02443" w:rsidRDefault="005120F9" w:rsidP="005120F9">
      <w:pPr>
        <w:pStyle w:val="ListParagraph"/>
        <w:ind w:left="0"/>
        <w:rPr>
          <w:rFonts w:ascii="Times New Roman" w:hAnsi="Times New Roman" w:cs="Times New Roman"/>
          <w:b/>
          <w:lang w:val="en-GB"/>
        </w:rPr>
      </w:pPr>
      <w:r w:rsidRPr="00A02443">
        <w:rPr>
          <w:rFonts w:ascii="Times New Roman" w:hAnsi="Times New Roman" w:cs="Times New Roman"/>
          <w:b/>
          <w:u w:val="single"/>
          <w:lang w:val="en-GB"/>
        </w:rPr>
        <w:t>Proposal</w:t>
      </w:r>
      <w:r w:rsidR="00A02443" w:rsidRPr="00A02443">
        <w:rPr>
          <w:rFonts w:ascii="Times New Roman" w:hAnsi="Times New Roman" w:cs="Times New Roman"/>
          <w:b/>
          <w:u w:val="single"/>
          <w:lang w:val="en-GB"/>
        </w:rPr>
        <w:t xml:space="preserve"> 3</w:t>
      </w:r>
      <w:r w:rsidRPr="00A02443">
        <w:rPr>
          <w:rFonts w:ascii="Times New Roman" w:hAnsi="Times New Roman" w:cs="Times New Roman"/>
          <w:b/>
          <w:lang w:val="en-GB"/>
        </w:rPr>
        <w:t>: RAN4 to revoke the agreement “</w:t>
      </w:r>
      <w:r w:rsidRPr="00A02443">
        <w:rPr>
          <w:rFonts w:ascii="Times New Roman" w:eastAsia="Times New Roman" w:hAnsi="Times New Roman" w:cs="Times New Roman"/>
          <w:b/>
          <w:highlight w:val="yellow"/>
          <w:lang w:eastAsia="en-GB"/>
        </w:rPr>
        <w:t>The existing requirements on selection/reselection of V2X SyncRef UE are applied for the component carrier(s) configured as the synchronization carrier.</w:t>
      </w:r>
      <w:r w:rsidRPr="00A02443">
        <w:rPr>
          <w:rFonts w:ascii="Times New Roman" w:hAnsi="Times New Roman" w:cs="Times New Roman"/>
          <w:b/>
          <w:lang w:val="en-GB"/>
        </w:rPr>
        <w:t>”</w:t>
      </w:r>
    </w:p>
    <w:p w:rsidR="005120F9" w:rsidRPr="00A02443" w:rsidRDefault="00A02443" w:rsidP="005120F9">
      <w:pPr>
        <w:pStyle w:val="ListParagraph"/>
        <w:ind w:left="0"/>
        <w:rPr>
          <w:rFonts w:ascii="Times New Roman" w:hAnsi="Times New Roman" w:cs="Times New Roman"/>
          <w:b/>
          <w:lang w:val="en-GB"/>
        </w:rPr>
      </w:pPr>
      <w:r w:rsidRPr="00A02443">
        <w:rPr>
          <w:rFonts w:ascii="Times New Roman" w:hAnsi="Times New Roman" w:cs="Times New Roman"/>
          <w:b/>
          <w:u w:val="single"/>
          <w:lang w:val="en-GB"/>
        </w:rPr>
        <w:t>Proposal 4</w:t>
      </w:r>
      <w:r w:rsidRPr="00A02443">
        <w:rPr>
          <w:rFonts w:ascii="Times New Roman" w:hAnsi="Times New Roman" w:cs="Times New Roman"/>
          <w:b/>
          <w:lang w:val="en-GB"/>
        </w:rPr>
        <w:t>: Any RAN4 agreement should be pending on RAN1 outcome on syncref selection/reselection procedure.</w:t>
      </w:r>
    </w:p>
    <w:p w:rsidR="002125F2" w:rsidRDefault="002125F2" w:rsidP="00607454">
      <w:pPr>
        <w:pStyle w:val="Heading1"/>
      </w:pPr>
      <w:r>
        <w:t>Conclusion</w:t>
      </w:r>
    </w:p>
    <w:p w:rsidR="002125F2" w:rsidRPr="00803C4C" w:rsidRDefault="002125F2" w:rsidP="002125F2">
      <w:pPr>
        <w:rPr>
          <w:rFonts w:ascii="Times New Roman" w:hAnsi="Times New Roman" w:cs="Times New Roman"/>
          <w:lang w:val="en-GB"/>
        </w:rPr>
      </w:pPr>
      <w:r w:rsidRPr="00A02443">
        <w:rPr>
          <w:rFonts w:ascii="Times New Roman" w:hAnsi="Times New Roman" w:cs="Times New Roman"/>
          <w:b/>
          <w:u w:val="single"/>
          <w:lang w:val="en-GB"/>
        </w:rPr>
        <w:t>Proposal 1</w:t>
      </w:r>
      <w:r w:rsidRPr="00803C4C">
        <w:rPr>
          <w:rFonts w:ascii="Times New Roman" w:hAnsi="Times New Roman" w:cs="Times New Roman"/>
          <w:b/>
          <w:lang w:val="en-GB"/>
        </w:rPr>
        <w:t xml:space="preserve">: </w:t>
      </w:r>
      <w:r>
        <w:rPr>
          <w:rFonts w:ascii="Times New Roman" w:hAnsi="Times New Roman" w:cs="Times New Roman"/>
          <w:b/>
          <w:lang w:val="en-GB"/>
        </w:rPr>
        <w:t>need FFS the definition of cell addition/release in the context of V2X.</w:t>
      </w:r>
    </w:p>
    <w:p w:rsidR="002125F2" w:rsidRPr="00803C4C" w:rsidRDefault="002125F2" w:rsidP="002125F2">
      <w:pPr>
        <w:rPr>
          <w:rFonts w:ascii="Times New Roman" w:hAnsi="Times New Roman" w:cs="Times New Roman"/>
          <w:b/>
          <w:lang w:val="en-GB"/>
        </w:rPr>
      </w:pPr>
      <w:r w:rsidRPr="00A02443">
        <w:rPr>
          <w:rFonts w:ascii="Times New Roman" w:hAnsi="Times New Roman" w:cs="Times New Roman"/>
          <w:b/>
          <w:u w:val="single"/>
          <w:lang w:val="en-GB"/>
        </w:rPr>
        <w:t>Proposal 2</w:t>
      </w:r>
      <w:r w:rsidRPr="00803C4C">
        <w:rPr>
          <w:rFonts w:ascii="Times New Roman" w:hAnsi="Times New Roman" w:cs="Times New Roman"/>
          <w:b/>
          <w:lang w:val="en-GB"/>
        </w:rPr>
        <w:t>: FFS the location where the interruption subframes shall occur.</w:t>
      </w:r>
    </w:p>
    <w:p w:rsidR="002125F2" w:rsidRPr="00A02443" w:rsidRDefault="002125F2" w:rsidP="002125F2">
      <w:pPr>
        <w:pStyle w:val="ListParagraph"/>
        <w:ind w:left="0"/>
        <w:rPr>
          <w:rFonts w:ascii="Times New Roman" w:hAnsi="Times New Roman" w:cs="Times New Roman"/>
          <w:b/>
          <w:lang w:val="en-GB"/>
        </w:rPr>
      </w:pPr>
      <w:r w:rsidRPr="00A02443">
        <w:rPr>
          <w:rFonts w:ascii="Times New Roman" w:hAnsi="Times New Roman" w:cs="Times New Roman"/>
          <w:b/>
          <w:u w:val="single"/>
          <w:lang w:val="en-GB"/>
        </w:rPr>
        <w:t>Proposal 3</w:t>
      </w:r>
      <w:r w:rsidRPr="00A02443">
        <w:rPr>
          <w:rFonts w:ascii="Times New Roman" w:hAnsi="Times New Roman" w:cs="Times New Roman"/>
          <w:b/>
          <w:lang w:val="en-GB"/>
        </w:rPr>
        <w:t>: RAN4 to revoke the agreement “</w:t>
      </w:r>
      <w:r w:rsidRPr="00A02443">
        <w:rPr>
          <w:rFonts w:ascii="Times New Roman" w:eastAsia="Times New Roman" w:hAnsi="Times New Roman" w:cs="Times New Roman"/>
          <w:b/>
          <w:highlight w:val="yellow"/>
          <w:lang w:eastAsia="en-GB"/>
        </w:rPr>
        <w:t>The existing requirements on selection/reselection of V2X SyncRef UE are applied for the component carrier(s) configured as the synchronization carrier.</w:t>
      </w:r>
      <w:r w:rsidRPr="00A02443">
        <w:rPr>
          <w:rFonts w:ascii="Times New Roman" w:hAnsi="Times New Roman" w:cs="Times New Roman"/>
          <w:b/>
          <w:lang w:val="en-GB"/>
        </w:rPr>
        <w:t>”</w:t>
      </w:r>
    </w:p>
    <w:p w:rsidR="002125F2" w:rsidRPr="002125F2" w:rsidRDefault="002125F2" w:rsidP="002125F2">
      <w:pPr>
        <w:pStyle w:val="ListParagraph"/>
        <w:ind w:left="0"/>
        <w:rPr>
          <w:rFonts w:ascii="Times New Roman" w:hAnsi="Times New Roman" w:cs="Times New Roman"/>
          <w:b/>
          <w:lang w:val="en-GB"/>
        </w:rPr>
      </w:pPr>
      <w:r w:rsidRPr="00A02443">
        <w:rPr>
          <w:rFonts w:ascii="Times New Roman" w:hAnsi="Times New Roman" w:cs="Times New Roman"/>
          <w:b/>
          <w:u w:val="single"/>
          <w:lang w:val="en-GB"/>
        </w:rPr>
        <w:t>Proposal 4</w:t>
      </w:r>
      <w:r w:rsidRPr="00A02443">
        <w:rPr>
          <w:rFonts w:ascii="Times New Roman" w:hAnsi="Times New Roman" w:cs="Times New Roman"/>
          <w:b/>
          <w:lang w:val="en-GB"/>
        </w:rPr>
        <w:t>: Any RAN4 agreement should be pending on RAN1 outcome on syncref selection/reselection procedure.</w:t>
      </w:r>
    </w:p>
    <w:p w:rsidR="00AC1D3D" w:rsidRPr="00C97B98" w:rsidRDefault="00607454" w:rsidP="00607454">
      <w:pPr>
        <w:pStyle w:val="Heading1"/>
      </w:pPr>
      <w:r>
        <w:t>References</w:t>
      </w:r>
    </w:p>
    <w:p w:rsidR="00BC3380" w:rsidRPr="00A02443" w:rsidRDefault="00592EA3" w:rsidP="00BC3380">
      <w:pPr>
        <w:rPr>
          <w:rFonts w:ascii="Times New Roman" w:hAnsi="Times New Roman" w:cs="Times New Roman"/>
        </w:rPr>
      </w:pPr>
      <w:r w:rsidRPr="00A02443">
        <w:rPr>
          <w:rFonts w:ascii="Times New Roman" w:hAnsi="Times New Roman" w:cs="Times New Roman"/>
        </w:rPr>
        <w:t xml:space="preserve">[1] </w:t>
      </w:r>
      <w:r w:rsidR="00862D03" w:rsidRPr="00A02443">
        <w:rPr>
          <w:rFonts w:ascii="Times New Roman" w:hAnsi="Times New Roman" w:cs="Times New Roman"/>
        </w:rPr>
        <w:t>TS 36.</w:t>
      </w:r>
      <w:r w:rsidR="00A02443" w:rsidRPr="00A02443">
        <w:rPr>
          <w:rFonts w:ascii="Times New Roman" w:hAnsi="Times New Roman" w:cs="Times New Roman"/>
        </w:rPr>
        <w:t>133</w:t>
      </w:r>
      <w:r w:rsidR="00862D03" w:rsidRPr="00A02443">
        <w:rPr>
          <w:rFonts w:ascii="Times New Roman" w:hAnsi="Times New Roman" w:cs="Times New Roman"/>
        </w:rPr>
        <w:tab/>
      </w:r>
      <w:r w:rsidR="00553938" w:rsidRPr="00A02443">
        <w:rPr>
          <w:rFonts w:ascii="Times New Roman" w:hAnsi="Times New Roman" w:cs="Times New Roman"/>
        </w:rPr>
        <w:t xml:space="preserve">  </w:t>
      </w:r>
      <w:r w:rsidR="00A02443" w:rsidRPr="00A02443">
        <w:rPr>
          <w:rFonts w:ascii="Times New Roman" w:hAnsi="Times New Roman" w:cs="Times New Roman"/>
          <w:color w:val="545454"/>
          <w:shd w:val="clear" w:color="auto" w:fill="FFFFFF"/>
        </w:rPr>
        <w:t>Evolved Universal Terrestrial Radio Access (E-UTRA); Requirements for support of radio resource management</w:t>
      </w:r>
      <w:r w:rsidR="00A02443">
        <w:rPr>
          <w:rFonts w:ascii="Times New Roman" w:hAnsi="Times New Roman" w:cs="Times New Roman"/>
          <w:color w:val="545454"/>
          <w:shd w:val="clear" w:color="auto" w:fill="FFFFFF"/>
        </w:rPr>
        <w:t>.</w:t>
      </w:r>
    </w:p>
    <w:p w:rsidR="00553938" w:rsidRPr="00612714" w:rsidRDefault="00553938" w:rsidP="00862D03">
      <w:pPr>
        <w:rPr>
          <w:rFonts w:ascii="Arial" w:hAnsi="Arial" w:cs="Arial"/>
          <w:color w:val="000000"/>
          <w:sz w:val="18"/>
          <w:szCs w:val="18"/>
        </w:rPr>
      </w:pPr>
    </w:p>
    <w:sectPr w:rsidR="00553938" w:rsidRPr="00612714" w:rsidSect="009A189D">
      <w:footerReference w:type="even" r:id="rId7"/>
      <w:footerReference w:type="default" r:id="rId8"/>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3540" w:rsidRDefault="00983540">
      <w:pPr>
        <w:spacing w:after="0" w:line="240" w:lineRule="auto"/>
      </w:pPr>
      <w:r>
        <w:separator/>
      </w:r>
    </w:p>
  </w:endnote>
  <w:endnote w:type="continuationSeparator" w:id="0">
    <w:p w:rsidR="00983540" w:rsidRDefault="0098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8E4E8A" w:rsidRDefault="008E4E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4E8A" w:rsidRDefault="008E4E8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A69AD">
      <w:rPr>
        <w:rStyle w:val="PageNumber"/>
      </w:rPr>
      <w:t>2</w:t>
    </w:r>
    <w:r>
      <w:rPr>
        <w:rStyle w:val="PageNumber"/>
      </w:rPr>
      <w:fldChar w:fldCharType="end"/>
    </w:r>
  </w:p>
  <w:p w:rsidR="008E4E8A" w:rsidRDefault="008E4E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3540" w:rsidRDefault="00983540">
      <w:pPr>
        <w:spacing w:after="0" w:line="240" w:lineRule="auto"/>
      </w:pPr>
      <w:r>
        <w:separator/>
      </w:r>
    </w:p>
  </w:footnote>
  <w:footnote w:type="continuationSeparator" w:id="0">
    <w:p w:rsidR="00983540" w:rsidRDefault="009835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E32D7"/>
    <w:multiLevelType w:val="hybridMultilevel"/>
    <w:tmpl w:val="191834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34BF8"/>
    <w:multiLevelType w:val="hybridMultilevel"/>
    <w:tmpl w:val="587E6046"/>
    <w:lvl w:ilvl="0" w:tplc="0409000F">
      <w:start w:val="1"/>
      <w:numFmt w:val="decimal"/>
      <w:lvlText w:val="%1."/>
      <w:lvlJc w:val="left"/>
      <w:pPr>
        <w:ind w:left="3648" w:hanging="360"/>
      </w:pPr>
    </w:lvl>
    <w:lvl w:ilvl="1" w:tplc="04090019" w:tentative="1">
      <w:start w:val="1"/>
      <w:numFmt w:val="lowerLetter"/>
      <w:lvlText w:val="%2."/>
      <w:lvlJc w:val="left"/>
      <w:pPr>
        <w:ind w:left="4368" w:hanging="360"/>
      </w:pPr>
    </w:lvl>
    <w:lvl w:ilvl="2" w:tplc="0409001B" w:tentative="1">
      <w:start w:val="1"/>
      <w:numFmt w:val="lowerRoman"/>
      <w:lvlText w:val="%3."/>
      <w:lvlJc w:val="right"/>
      <w:pPr>
        <w:ind w:left="5088" w:hanging="180"/>
      </w:pPr>
    </w:lvl>
    <w:lvl w:ilvl="3" w:tplc="0409000F" w:tentative="1">
      <w:start w:val="1"/>
      <w:numFmt w:val="decimal"/>
      <w:lvlText w:val="%4."/>
      <w:lvlJc w:val="left"/>
      <w:pPr>
        <w:ind w:left="5808" w:hanging="360"/>
      </w:pPr>
    </w:lvl>
    <w:lvl w:ilvl="4" w:tplc="04090019" w:tentative="1">
      <w:start w:val="1"/>
      <w:numFmt w:val="lowerLetter"/>
      <w:lvlText w:val="%5."/>
      <w:lvlJc w:val="left"/>
      <w:pPr>
        <w:ind w:left="6528" w:hanging="360"/>
      </w:pPr>
    </w:lvl>
    <w:lvl w:ilvl="5" w:tplc="0409001B" w:tentative="1">
      <w:start w:val="1"/>
      <w:numFmt w:val="lowerRoman"/>
      <w:lvlText w:val="%6."/>
      <w:lvlJc w:val="right"/>
      <w:pPr>
        <w:ind w:left="7248" w:hanging="180"/>
      </w:pPr>
    </w:lvl>
    <w:lvl w:ilvl="6" w:tplc="0409000F" w:tentative="1">
      <w:start w:val="1"/>
      <w:numFmt w:val="decimal"/>
      <w:lvlText w:val="%7."/>
      <w:lvlJc w:val="left"/>
      <w:pPr>
        <w:ind w:left="7968" w:hanging="360"/>
      </w:pPr>
    </w:lvl>
    <w:lvl w:ilvl="7" w:tplc="04090019" w:tentative="1">
      <w:start w:val="1"/>
      <w:numFmt w:val="lowerLetter"/>
      <w:lvlText w:val="%8."/>
      <w:lvlJc w:val="left"/>
      <w:pPr>
        <w:ind w:left="8688" w:hanging="360"/>
      </w:pPr>
    </w:lvl>
    <w:lvl w:ilvl="8" w:tplc="0409001B" w:tentative="1">
      <w:start w:val="1"/>
      <w:numFmt w:val="lowerRoman"/>
      <w:lvlText w:val="%9."/>
      <w:lvlJc w:val="right"/>
      <w:pPr>
        <w:ind w:left="9408" w:hanging="180"/>
      </w:pPr>
    </w:lvl>
  </w:abstractNum>
  <w:abstractNum w:abstractNumId="4"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F1CB4"/>
    <w:multiLevelType w:val="hybridMultilevel"/>
    <w:tmpl w:val="9428548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0A7C55EB"/>
    <w:multiLevelType w:val="hybridMultilevel"/>
    <w:tmpl w:val="033086E0"/>
    <w:lvl w:ilvl="0" w:tplc="E21AB6F4">
      <w:start w:val="1"/>
      <w:numFmt w:val="bullet"/>
      <w:lvlText w:val="•"/>
      <w:lvlJc w:val="left"/>
      <w:pPr>
        <w:tabs>
          <w:tab w:val="num" w:pos="360"/>
        </w:tabs>
        <w:ind w:left="360" w:hanging="360"/>
      </w:pPr>
      <w:rPr>
        <w:rFonts w:ascii="Arial" w:hAnsi="Arial" w:hint="default"/>
      </w:rPr>
    </w:lvl>
    <w:lvl w:ilvl="1" w:tplc="3606CF38">
      <w:start w:val="1"/>
      <w:numFmt w:val="bullet"/>
      <w:lvlText w:val="•"/>
      <w:lvlJc w:val="left"/>
      <w:pPr>
        <w:tabs>
          <w:tab w:val="num" w:pos="1080"/>
        </w:tabs>
        <w:ind w:left="1080" w:hanging="360"/>
      </w:pPr>
      <w:rPr>
        <w:rFonts w:ascii="Arial" w:hAnsi="Arial" w:hint="default"/>
      </w:rPr>
    </w:lvl>
    <w:lvl w:ilvl="2" w:tplc="264EEC2A">
      <w:numFmt w:val="bullet"/>
      <w:lvlText w:val="-"/>
      <w:lvlJc w:val="left"/>
      <w:pPr>
        <w:ind w:left="1800" w:hanging="360"/>
      </w:pPr>
      <w:rPr>
        <w:rFonts w:ascii="Times New Roman" w:eastAsia="Times New Roman" w:hAnsi="Times New Roman" w:cs="Times New Roman" w:hint="default"/>
      </w:rPr>
    </w:lvl>
    <w:lvl w:ilvl="3" w:tplc="7898EDA0" w:tentative="1">
      <w:start w:val="1"/>
      <w:numFmt w:val="bullet"/>
      <w:lvlText w:val="•"/>
      <w:lvlJc w:val="left"/>
      <w:pPr>
        <w:tabs>
          <w:tab w:val="num" w:pos="2520"/>
        </w:tabs>
        <w:ind w:left="2520" w:hanging="360"/>
      </w:pPr>
      <w:rPr>
        <w:rFonts w:ascii="Arial" w:hAnsi="Arial" w:hint="default"/>
      </w:rPr>
    </w:lvl>
    <w:lvl w:ilvl="4" w:tplc="A8F8E776" w:tentative="1">
      <w:start w:val="1"/>
      <w:numFmt w:val="bullet"/>
      <w:lvlText w:val="•"/>
      <w:lvlJc w:val="left"/>
      <w:pPr>
        <w:tabs>
          <w:tab w:val="num" w:pos="3240"/>
        </w:tabs>
        <w:ind w:left="3240" w:hanging="360"/>
      </w:pPr>
      <w:rPr>
        <w:rFonts w:ascii="Arial" w:hAnsi="Arial" w:hint="default"/>
      </w:rPr>
    </w:lvl>
    <w:lvl w:ilvl="5" w:tplc="1722C054" w:tentative="1">
      <w:start w:val="1"/>
      <w:numFmt w:val="bullet"/>
      <w:lvlText w:val="•"/>
      <w:lvlJc w:val="left"/>
      <w:pPr>
        <w:tabs>
          <w:tab w:val="num" w:pos="3960"/>
        </w:tabs>
        <w:ind w:left="3960" w:hanging="360"/>
      </w:pPr>
      <w:rPr>
        <w:rFonts w:ascii="Arial" w:hAnsi="Arial" w:hint="default"/>
      </w:rPr>
    </w:lvl>
    <w:lvl w:ilvl="6" w:tplc="F6A0DC00" w:tentative="1">
      <w:start w:val="1"/>
      <w:numFmt w:val="bullet"/>
      <w:lvlText w:val="•"/>
      <w:lvlJc w:val="left"/>
      <w:pPr>
        <w:tabs>
          <w:tab w:val="num" w:pos="4680"/>
        </w:tabs>
        <w:ind w:left="4680" w:hanging="360"/>
      </w:pPr>
      <w:rPr>
        <w:rFonts w:ascii="Arial" w:hAnsi="Arial" w:hint="default"/>
      </w:rPr>
    </w:lvl>
    <w:lvl w:ilvl="7" w:tplc="6B9489F8" w:tentative="1">
      <w:start w:val="1"/>
      <w:numFmt w:val="bullet"/>
      <w:lvlText w:val="•"/>
      <w:lvlJc w:val="left"/>
      <w:pPr>
        <w:tabs>
          <w:tab w:val="num" w:pos="5400"/>
        </w:tabs>
        <w:ind w:left="5400" w:hanging="360"/>
      </w:pPr>
      <w:rPr>
        <w:rFonts w:ascii="Arial" w:hAnsi="Arial" w:hint="default"/>
      </w:rPr>
    </w:lvl>
    <w:lvl w:ilvl="8" w:tplc="60DA203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E726E04"/>
    <w:multiLevelType w:val="hybridMultilevel"/>
    <w:tmpl w:val="ACA60A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FB7006F"/>
    <w:multiLevelType w:val="hybridMultilevel"/>
    <w:tmpl w:val="3B22024C"/>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97BB7"/>
    <w:multiLevelType w:val="hybridMultilevel"/>
    <w:tmpl w:val="D9FE80B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0D3235F"/>
    <w:multiLevelType w:val="hybridMultilevel"/>
    <w:tmpl w:val="62E8F66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0D6562"/>
    <w:multiLevelType w:val="hybridMultilevel"/>
    <w:tmpl w:val="6B40DE7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7"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187260"/>
    <w:multiLevelType w:val="hybridMultilevel"/>
    <w:tmpl w:val="4A7E4C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4BA7578"/>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AF74A8"/>
    <w:multiLevelType w:val="hybridMultilevel"/>
    <w:tmpl w:val="549C42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4C0807"/>
    <w:multiLevelType w:val="hybridMultilevel"/>
    <w:tmpl w:val="55507996"/>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4C6211BF"/>
    <w:multiLevelType w:val="hybridMultilevel"/>
    <w:tmpl w:val="0E648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E37ED9"/>
    <w:multiLevelType w:val="hybridMultilevel"/>
    <w:tmpl w:val="56022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B109E"/>
    <w:multiLevelType w:val="hybridMultilevel"/>
    <w:tmpl w:val="9BAC9412"/>
    <w:lvl w:ilvl="0" w:tplc="0EE6F4B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BF662D"/>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15:restartNumberingAfterBreak="0">
    <w:nsid w:val="55393B66"/>
    <w:multiLevelType w:val="hybridMultilevel"/>
    <w:tmpl w:val="D9FE8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1F095D"/>
    <w:multiLevelType w:val="hybridMultilevel"/>
    <w:tmpl w:val="C9242062"/>
    <w:lvl w:ilvl="0" w:tplc="0409000F">
      <w:start w:val="1"/>
      <w:numFmt w:val="decimal"/>
      <w:lvlText w:val="%1."/>
      <w:lvlJc w:val="left"/>
      <w:pPr>
        <w:ind w:left="6528" w:hanging="360"/>
      </w:pPr>
    </w:lvl>
    <w:lvl w:ilvl="1" w:tplc="04090019" w:tentative="1">
      <w:start w:val="1"/>
      <w:numFmt w:val="lowerLetter"/>
      <w:lvlText w:val="%2."/>
      <w:lvlJc w:val="left"/>
      <w:pPr>
        <w:ind w:left="7248" w:hanging="360"/>
      </w:pPr>
    </w:lvl>
    <w:lvl w:ilvl="2" w:tplc="0409001B" w:tentative="1">
      <w:start w:val="1"/>
      <w:numFmt w:val="lowerRoman"/>
      <w:lvlText w:val="%3."/>
      <w:lvlJc w:val="right"/>
      <w:pPr>
        <w:ind w:left="7968" w:hanging="180"/>
      </w:pPr>
    </w:lvl>
    <w:lvl w:ilvl="3" w:tplc="0409000F" w:tentative="1">
      <w:start w:val="1"/>
      <w:numFmt w:val="decimal"/>
      <w:lvlText w:val="%4."/>
      <w:lvlJc w:val="left"/>
      <w:pPr>
        <w:ind w:left="8688" w:hanging="360"/>
      </w:pPr>
    </w:lvl>
    <w:lvl w:ilvl="4" w:tplc="04090019" w:tentative="1">
      <w:start w:val="1"/>
      <w:numFmt w:val="lowerLetter"/>
      <w:lvlText w:val="%5."/>
      <w:lvlJc w:val="left"/>
      <w:pPr>
        <w:ind w:left="9408" w:hanging="360"/>
      </w:pPr>
    </w:lvl>
    <w:lvl w:ilvl="5" w:tplc="0409001B" w:tentative="1">
      <w:start w:val="1"/>
      <w:numFmt w:val="lowerRoman"/>
      <w:lvlText w:val="%6."/>
      <w:lvlJc w:val="right"/>
      <w:pPr>
        <w:ind w:left="10128" w:hanging="180"/>
      </w:pPr>
    </w:lvl>
    <w:lvl w:ilvl="6" w:tplc="0409000F" w:tentative="1">
      <w:start w:val="1"/>
      <w:numFmt w:val="decimal"/>
      <w:lvlText w:val="%7."/>
      <w:lvlJc w:val="left"/>
      <w:pPr>
        <w:ind w:left="10848" w:hanging="360"/>
      </w:pPr>
    </w:lvl>
    <w:lvl w:ilvl="7" w:tplc="04090019" w:tentative="1">
      <w:start w:val="1"/>
      <w:numFmt w:val="lowerLetter"/>
      <w:lvlText w:val="%8."/>
      <w:lvlJc w:val="left"/>
      <w:pPr>
        <w:ind w:left="11568" w:hanging="360"/>
      </w:pPr>
    </w:lvl>
    <w:lvl w:ilvl="8" w:tplc="0409001B" w:tentative="1">
      <w:start w:val="1"/>
      <w:numFmt w:val="lowerRoman"/>
      <w:lvlText w:val="%9."/>
      <w:lvlJc w:val="right"/>
      <w:pPr>
        <w:ind w:left="12288" w:hanging="180"/>
      </w:pPr>
    </w:lvl>
  </w:abstractNum>
  <w:abstractNum w:abstractNumId="38" w15:restartNumberingAfterBreak="0">
    <w:nsid w:val="5822670E"/>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D2F2D1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BB08BB"/>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B75D5"/>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64FA0B70"/>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E1681"/>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6F6E1612"/>
    <w:multiLevelType w:val="hybridMultilevel"/>
    <w:tmpl w:val="E4D08B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D3287C"/>
    <w:multiLevelType w:val="hybridMultilevel"/>
    <w:tmpl w:val="A814A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43"/>
  </w:num>
  <w:num w:numId="3">
    <w:abstractNumId w:val="17"/>
  </w:num>
  <w:num w:numId="4">
    <w:abstractNumId w:val="41"/>
  </w:num>
  <w:num w:numId="5">
    <w:abstractNumId w:val="22"/>
  </w:num>
  <w:num w:numId="6">
    <w:abstractNumId w:val="4"/>
  </w:num>
  <w:num w:numId="7">
    <w:abstractNumId w:val="13"/>
  </w:num>
  <w:num w:numId="8">
    <w:abstractNumId w:val="5"/>
  </w:num>
  <w:num w:numId="9">
    <w:abstractNumId w:val="23"/>
  </w:num>
  <w:num w:numId="10">
    <w:abstractNumId w:val="2"/>
  </w:num>
  <w:num w:numId="11">
    <w:abstractNumId w:val="31"/>
  </w:num>
  <w:num w:numId="12">
    <w:abstractNumId w:val="14"/>
  </w:num>
  <w:num w:numId="13">
    <w:abstractNumId w:val="34"/>
  </w:num>
  <w:num w:numId="14">
    <w:abstractNumId w:val="47"/>
  </w:num>
  <w:num w:numId="15">
    <w:abstractNumId w:val="20"/>
  </w:num>
  <w:num w:numId="16">
    <w:abstractNumId w:val="18"/>
  </w:num>
  <w:num w:numId="17">
    <w:abstractNumId w:val="26"/>
  </w:num>
  <w:num w:numId="18">
    <w:abstractNumId w:val="15"/>
  </w:num>
  <w:num w:numId="19">
    <w:abstractNumId w:val="19"/>
  </w:num>
  <w:num w:numId="20">
    <w:abstractNumId w:val="24"/>
  </w:num>
  <w:num w:numId="21">
    <w:abstractNumId w:val="1"/>
  </w:num>
  <w:num w:numId="22">
    <w:abstractNumId w:val="9"/>
  </w:num>
  <w:num w:numId="23">
    <w:abstractNumId w:val="33"/>
  </w:num>
  <w:num w:numId="24">
    <w:abstractNumId w:val="35"/>
  </w:num>
  <w:num w:numId="25">
    <w:abstractNumId w:val="45"/>
  </w:num>
  <w:num w:numId="26">
    <w:abstractNumId w:val="0"/>
  </w:num>
  <w:num w:numId="27">
    <w:abstractNumId w:val="10"/>
  </w:num>
  <w:num w:numId="28">
    <w:abstractNumId w:val="30"/>
  </w:num>
  <w:num w:numId="29">
    <w:abstractNumId w:val="48"/>
  </w:num>
  <w:num w:numId="30">
    <w:abstractNumId w:val="42"/>
  </w:num>
  <w:num w:numId="31">
    <w:abstractNumId w:val="39"/>
  </w:num>
  <w:num w:numId="32">
    <w:abstractNumId w:val="40"/>
  </w:num>
  <w:num w:numId="33">
    <w:abstractNumId w:val="25"/>
  </w:num>
  <w:num w:numId="34">
    <w:abstractNumId w:val="38"/>
  </w:num>
  <w:num w:numId="35">
    <w:abstractNumId w:val="44"/>
  </w:num>
  <w:num w:numId="36">
    <w:abstractNumId w:val="21"/>
  </w:num>
  <w:num w:numId="37">
    <w:abstractNumId w:val="46"/>
  </w:num>
  <w:num w:numId="38">
    <w:abstractNumId w:val="6"/>
  </w:num>
  <w:num w:numId="39">
    <w:abstractNumId w:val="3"/>
  </w:num>
  <w:num w:numId="40">
    <w:abstractNumId w:val="37"/>
  </w:num>
  <w:num w:numId="41">
    <w:abstractNumId w:val="16"/>
  </w:num>
  <w:num w:numId="42">
    <w:abstractNumId w:val="11"/>
  </w:num>
  <w:num w:numId="43">
    <w:abstractNumId w:val="36"/>
  </w:num>
  <w:num w:numId="44">
    <w:abstractNumId w:val="32"/>
  </w:num>
  <w:num w:numId="45">
    <w:abstractNumId w:val="29"/>
  </w:num>
  <w:num w:numId="46">
    <w:abstractNumId w:val="7"/>
  </w:num>
  <w:num w:numId="47">
    <w:abstractNumId w:val="12"/>
  </w:num>
  <w:num w:numId="48">
    <w:abstractNumId w:val="27"/>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41DF"/>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3045"/>
    <w:rsid w:val="00064DC4"/>
    <w:rsid w:val="0006748C"/>
    <w:rsid w:val="00071A7B"/>
    <w:rsid w:val="00071C29"/>
    <w:rsid w:val="00073E66"/>
    <w:rsid w:val="00074410"/>
    <w:rsid w:val="0008171A"/>
    <w:rsid w:val="00081952"/>
    <w:rsid w:val="00081CCE"/>
    <w:rsid w:val="00082DEC"/>
    <w:rsid w:val="00084E12"/>
    <w:rsid w:val="00085B42"/>
    <w:rsid w:val="00085B9D"/>
    <w:rsid w:val="00085CA0"/>
    <w:rsid w:val="00090E31"/>
    <w:rsid w:val="00096375"/>
    <w:rsid w:val="00096C14"/>
    <w:rsid w:val="000A1F50"/>
    <w:rsid w:val="000A2311"/>
    <w:rsid w:val="000A4540"/>
    <w:rsid w:val="000A4E2A"/>
    <w:rsid w:val="000A6AA0"/>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2258"/>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758"/>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C5DBD"/>
    <w:rsid w:val="001D105B"/>
    <w:rsid w:val="001D29F1"/>
    <w:rsid w:val="001D32D6"/>
    <w:rsid w:val="001D3A9E"/>
    <w:rsid w:val="001D461E"/>
    <w:rsid w:val="001D4FED"/>
    <w:rsid w:val="001D543D"/>
    <w:rsid w:val="001D588D"/>
    <w:rsid w:val="001D7494"/>
    <w:rsid w:val="001D7676"/>
    <w:rsid w:val="001E072B"/>
    <w:rsid w:val="001E2F5A"/>
    <w:rsid w:val="001F3CF6"/>
    <w:rsid w:val="001F3DC7"/>
    <w:rsid w:val="001F768D"/>
    <w:rsid w:val="001F77D0"/>
    <w:rsid w:val="002033FC"/>
    <w:rsid w:val="00210C5B"/>
    <w:rsid w:val="002116AC"/>
    <w:rsid w:val="002125F2"/>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60E50"/>
    <w:rsid w:val="00263B7E"/>
    <w:rsid w:val="00264C46"/>
    <w:rsid w:val="002668AD"/>
    <w:rsid w:val="002676F0"/>
    <w:rsid w:val="00270AE4"/>
    <w:rsid w:val="002714FF"/>
    <w:rsid w:val="00273109"/>
    <w:rsid w:val="00274060"/>
    <w:rsid w:val="00274DFD"/>
    <w:rsid w:val="0027568F"/>
    <w:rsid w:val="00275818"/>
    <w:rsid w:val="00277774"/>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0D87"/>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442F"/>
    <w:rsid w:val="002E6CED"/>
    <w:rsid w:val="002F187B"/>
    <w:rsid w:val="002F3005"/>
    <w:rsid w:val="002F45E6"/>
    <w:rsid w:val="00300FAA"/>
    <w:rsid w:val="0030211A"/>
    <w:rsid w:val="00302E97"/>
    <w:rsid w:val="00303278"/>
    <w:rsid w:val="00303B93"/>
    <w:rsid w:val="0030479B"/>
    <w:rsid w:val="003056DF"/>
    <w:rsid w:val="00305991"/>
    <w:rsid w:val="00305E1D"/>
    <w:rsid w:val="00307054"/>
    <w:rsid w:val="0031035F"/>
    <w:rsid w:val="003125B3"/>
    <w:rsid w:val="00314F14"/>
    <w:rsid w:val="00316ABC"/>
    <w:rsid w:val="00317864"/>
    <w:rsid w:val="00320D33"/>
    <w:rsid w:val="003242C3"/>
    <w:rsid w:val="0032486C"/>
    <w:rsid w:val="0032518C"/>
    <w:rsid w:val="00327300"/>
    <w:rsid w:val="0032755D"/>
    <w:rsid w:val="00332705"/>
    <w:rsid w:val="00332B8A"/>
    <w:rsid w:val="00333753"/>
    <w:rsid w:val="00335E04"/>
    <w:rsid w:val="00335F9A"/>
    <w:rsid w:val="00336C14"/>
    <w:rsid w:val="0034103A"/>
    <w:rsid w:val="003412F2"/>
    <w:rsid w:val="00341F52"/>
    <w:rsid w:val="00342CC0"/>
    <w:rsid w:val="003444EA"/>
    <w:rsid w:val="0034497B"/>
    <w:rsid w:val="00345A19"/>
    <w:rsid w:val="0035018C"/>
    <w:rsid w:val="003508DB"/>
    <w:rsid w:val="00351BCE"/>
    <w:rsid w:val="003557F2"/>
    <w:rsid w:val="00360DAC"/>
    <w:rsid w:val="00361BE7"/>
    <w:rsid w:val="00361DFB"/>
    <w:rsid w:val="00363373"/>
    <w:rsid w:val="00364EDD"/>
    <w:rsid w:val="00365235"/>
    <w:rsid w:val="003653AC"/>
    <w:rsid w:val="00365A27"/>
    <w:rsid w:val="003666C0"/>
    <w:rsid w:val="0036687B"/>
    <w:rsid w:val="00370EEA"/>
    <w:rsid w:val="00372286"/>
    <w:rsid w:val="00372DFC"/>
    <w:rsid w:val="003730B8"/>
    <w:rsid w:val="003738A9"/>
    <w:rsid w:val="00374A55"/>
    <w:rsid w:val="0037577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6FA"/>
    <w:rsid w:val="003F7C9B"/>
    <w:rsid w:val="00400918"/>
    <w:rsid w:val="00402AB1"/>
    <w:rsid w:val="004054BB"/>
    <w:rsid w:val="004065AC"/>
    <w:rsid w:val="00410A91"/>
    <w:rsid w:val="0041103F"/>
    <w:rsid w:val="00411A53"/>
    <w:rsid w:val="00412450"/>
    <w:rsid w:val="00420912"/>
    <w:rsid w:val="00420A5B"/>
    <w:rsid w:val="00422E2A"/>
    <w:rsid w:val="00425700"/>
    <w:rsid w:val="00426786"/>
    <w:rsid w:val="004276ED"/>
    <w:rsid w:val="00427D5F"/>
    <w:rsid w:val="00430849"/>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5C5D"/>
    <w:rsid w:val="004869E1"/>
    <w:rsid w:val="00486A11"/>
    <w:rsid w:val="00495219"/>
    <w:rsid w:val="0049594F"/>
    <w:rsid w:val="00496889"/>
    <w:rsid w:val="00497C8B"/>
    <w:rsid w:val="004A0B1C"/>
    <w:rsid w:val="004A2B4F"/>
    <w:rsid w:val="004A2D80"/>
    <w:rsid w:val="004A4BA1"/>
    <w:rsid w:val="004A5488"/>
    <w:rsid w:val="004B0A77"/>
    <w:rsid w:val="004B5C03"/>
    <w:rsid w:val="004B6D4F"/>
    <w:rsid w:val="004C2A43"/>
    <w:rsid w:val="004C50BE"/>
    <w:rsid w:val="004C550C"/>
    <w:rsid w:val="004C5597"/>
    <w:rsid w:val="004C55DE"/>
    <w:rsid w:val="004D0430"/>
    <w:rsid w:val="004D2179"/>
    <w:rsid w:val="004D27DD"/>
    <w:rsid w:val="004D2C33"/>
    <w:rsid w:val="004D45DC"/>
    <w:rsid w:val="004D4B23"/>
    <w:rsid w:val="004D5A75"/>
    <w:rsid w:val="004E5737"/>
    <w:rsid w:val="004E5EF7"/>
    <w:rsid w:val="004E6B26"/>
    <w:rsid w:val="004F017C"/>
    <w:rsid w:val="004F1FB6"/>
    <w:rsid w:val="004F3F02"/>
    <w:rsid w:val="004F6D53"/>
    <w:rsid w:val="004F7A98"/>
    <w:rsid w:val="004F7EE5"/>
    <w:rsid w:val="0050060B"/>
    <w:rsid w:val="00502652"/>
    <w:rsid w:val="00502BA7"/>
    <w:rsid w:val="00502FE2"/>
    <w:rsid w:val="00504472"/>
    <w:rsid w:val="005046F6"/>
    <w:rsid w:val="00505FE3"/>
    <w:rsid w:val="00506062"/>
    <w:rsid w:val="0050672D"/>
    <w:rsid w:val="005077F2"/>
    <w:rsid w:val="00511D1B"/>
    <w:rsid w:val="005120F9"/>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938"/>
    <w:rsid w:val="00553E24"/>
    <w:rsid w:val="005544A6"/>
    <w:rsid w:val="00556173"/>
    <w:rsid w:val="0056101A"/>
    <w:rsid w:val="00564F82"/>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4BCE"/>
    <w:rsid w:val="0059545E"/>
    <w:rsid w:val="00595894"/>
    <w:rsid w:val="00595DBB"/>
    <w:rsid w:val="005A0E25"/>
    <w:rsid w:val="005A2099"/>
    <w:rsid w:val="005A38C4"/>
    <w:rsid w:val="005A42D6"/>
    <w:rsid w:val="005A45E3"/>
    <w:rsid w:val="005A6C28"/>
    <w:rsid w:val="005A7D39"/>
    <w:rsid w:val="005B0557"/>
    <w:rsid w:val="005B2004"/>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5817"/>
    <w:rsid w:val="005D75CA"/>
    <w:rsid w:val="005E006F"/>
    <w:rsid w:val="005E0AD3"/>
    <w:rsid w:val="005E2C44"/>
    <w:rsid w:val="005E3CE1"/>
    <w:rsid w:val="005E4A7E"/>
    <w:rsid w:val="005F0F15"/>
    <w:rsid w:val="005F2DC1"/>
    <w:rsid w:val="005F694A"/>
    <w:rsid w:val="00602C5F"/>
    <w:rsid w:val="0060561B"/>
    <w:rsid w:val="00607454"/>
    <w:rsid w:val="006079ED"/>
    <w:rsid w:val="00607A54"/>
    <w:rsid w:val="0061103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24BB"/>
    <w:rsid w:val="00676047"/>
    <w:rsid w:val="0067689B"/>
    <w:rsid w:val="00681A87"/>
    <w:rsid w:val="00682EBF"/>
    <w:rsid w:val="00683910"/>
    <w:rsid w:val="006861B3"/>
    <w:rsid w:val="00687CAE"/>
    <w:rsid w:val="00690E5D"/>
    <w:rsid w:val="006911E9"/>
    <w:rsid w:val="00692491"/>
    <w:rsid w:val="0069683C"/>
    <w:rsid w:val="006A0E3B"/>
    <w:rsid w:val="006A15B8"/>
    <w:rsid w:val="006A19AC"/>
    <w:rsid w:val="006A297C"/>
    <w:rsid w:val="006A3581"/>
    <w:rsid w:val="006A3DFE"/>
    <w:rsid w:val="006A65D8"/>
    <w:rsid w:val="006A6934"/>
    <w:rsid w:val="006A69AD"/>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4699"/>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9B7"/>
    <w:rsid w:val="007A4F6F"/>
    <w:rsid w:val="007A5CB3"/>
    <w:rsid w:val="007A7FA1"/>
    <w:rsid w:val="007B0C54"/>
    <w:rsid w:val="007B1859"/>
    <w:rsid w:val="007B58BC"/>
    <w:rsid w:val="007C0075"/>
    <w:rsid w:val="007C09D6"/>
    <w:rsid w:val="007C2437"/>
    <w:rsid w:val="007C4336"/>
    <w:rsid w:val="007C7ED8"/>
    <w:rsid w:val="007C7F8A"/>
    <w:rsid w:val="007D530D"/>
    <w:rsid w:val="007D5C9E"/>
    <w:rsid w:val="007D6000"/>
    <w:rsid w:val="007D767E"/>
    <w:rsid w:val="007D7C89"/>
    <w:rsid w:val="007E052F"/>
    <w:rsid w:val="007E158B"/>
    <w:rsid w:val="007E4269"/>
    <w:rsid w:val="007E5867"/>
    <w:rsid w:val="007E76C9"/>
    <w:rsid w:val="007F0ABF"/>
    <w:rsid w:val="007F0DBE"/>
    <w:rsid w:val="007F2483"/>
    <w:rsid w:val="007F2DAA"/>
    <w:rsid w:val="007F3030"/>
    <w:rsid w:val="007F7024"/>
    <w:rsid w:val="008034F8"/>
    <w:rsid w:val="008036FD"/>
    <w:rsid w:val="00803C4C"/>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45194"/>
    <w:rsid w:val="008460DE"/>
    <w:rsid w:val="008500F4"/>
    <w:rsid w:val="008538B3"/>
    <w:rsid w:val="008558CA"/>
    <w:rsid w:val="00857EE9"/>
    <w:rsid w:val="008607C0"/>
    <w:rsid w:val="00862D03"/>
    <w:rsid w:val="00866134"/>
    <w:rsid w:val="00866C16"/>
    <w:rsid w:val="00870F86"/>
    <w:rsid w:val="00873538"/>
    <w:rsid w:val="00880B3A"/>
    <w:rsid w:val="00880F30"/>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5D39"/>
    <w:rsid w:val="008D67FD"/>
    <w:rsid w:val="008E09CE"/>
    <w:rsid w:val="008E21CF"/>
    <w:rsid w:val="008E381C"/>
    <w:rsid w:val="008E3A0E"/>
    <w:rsid w:val="008E4E8A"/>
    <w:rsid w:val="008E6EBC"/>
    <w:rsid w:val="008E7BF7"/>
    <w:rsid w:val="008E7EF4"/>
    <w:rsid w:val="008F07EB"/>
    <w:rsid w:val="008F0C1E"/>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6F78"/>
    <w:rsid w:val="00917FE8"/>
    <w:rsid w:val="009217E2"/>
    <w:rsid w:val="00922F86"/>
    <w:rsid w:val="009230CC"/>
    <w:rsid w:val="00924A3D"/>
    <w:rsid w:val="00926142"/>
    <w:rsid w:val="009265EF"/>
    <w:rsid w:val="00932276"/>
    <w:rsid w:val="00937B9E"/>
    <w:rsid w:val="00937DB4"/>
    <w:rsid w:val="009539F1"/>
    <w:rsid w:val="009561D2"/>
    <w:rsid w:val="009568AD"/>
    <w:rsid w:val="00964121"/>
    <w:rsid w:val="009652B5"/>
    <w:rsid w:val="00965D23"/>
    <w:rsid w:val="00967D71"/>
    <w:rsid w:val="00970B7A"/>
    <w:rsid w:val="00970E50"/>
    <w:rsid w:val="00972531"/>
    <w:rsid w:val="0097357B"/>
    <w:rsid w:val="00975477"/>
    <w:rsid w:val="009770CA"/>
    <w:rsid w:val="0098057B"/>
    <w:rsid w:val="00980639"/>
    <w:rsid w:val="00981D0F"/>
    <w:rsid w:val="00983540"/>
    <w:rsid w:val="00983E2F"/>
    <w:rsid w:val="009843E2"/>
    <w:rsid w:val="00984ECC"/>
    <w:rsid w:val="00985468"/>
    <w:rsid w:val="0099068F"/>
    <w:rsid w:val="00991A22"/>
    <w:rsid w:val="00991A23"/>
    <w:rsid w:val="00994CEE"/>
    <w:rsid w:val="0099786A"/>
    <w:rsid w:val="009A0E15"/>
    <w:rsid w:val="009A0EE4"/>
    <w:rsid w:val="009A189D"/>
    <w:rsid w:val="009A228D"/>
    <w:rsid w:val="009A437B"/>
    <w:rsid w:val="009B0B7B"/>
    <w:rsid w:val="009B28D4"/>
    <w:rsid w:val="009B3E20"/>
    <w:rsid w:val="009B4BB6"/>
    <w:rsid w:val="009B4BE1"/>
    <w:rsid w:val="009B5298"/>
    <w:rsid w:val="009B58F4"/>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443"/>
    <w:rsid w:val="00A02A6C"/>
    <w:rsid w:val="00A02C88"/>
    <w:rsid w:val="00A036A8"/>
    <w:rsid w:val="00A03870"/>
    <w:rsid w:val="00A03F4E"/>
    <w:rsid w:val="00A10860"/>
    <w:rsid w:val="00A113A2"/>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44CD8"/>
    <w:rsid w:val="00A55156"/>
    <w:rsid w:val="00A5784D"/>
    <w:rsid w:val="00A67A7A"/>
    <w:rsid w:val="00A70365"/>
    <w:rsid w:val="00A722E9"/>
    <w:rsid w:val="00A77E3E"/>
    <w:rsid w:val="00A822D9"/>
    <w:rsid w:val="00A83753"/>
    <w:rsid w:val="00A83949"/>
    <w:rsid w:val="00A871A1"/>
    <w:rsid w:val="00A87ED2"/>
    <w:rsid w:val="00A92528"/>
    <w:rsid w:val="00AA1183"/>
    <w:rsid w:val="00AA23AE"/>
    <w:rsid w:val="00AB070B"/>
    <w:rsid w:val="00AB291E"/>
    <w:rsid w:val="00AB4840"/>
    <w:rsid w:val="00AB6D47"/>
    <w:rsid w:val="00AC1D3D"/>
    <w:rsid w:val="00AC38CC"/>
    <w:rsid w:val="00AC3BA7"/>
    <w:rsid w:val="00AC6862"/>
    <w:rsid w:val="00AC6CDD"/>
    <w:rsid w:val="00AD1674"/>
    <w:rsid w:val="00AD202F"/>
    <w:rsid w:val="00AD27D5"/>
    <w:rsid w:val="00AD29E5"/>
    <w:rsid w:val="00AD53B4"/>
    <w:rsid w:val="00AD6AE9"/>
    <w:rsid w:val="00AE6F16"/>
    <w:rsid w:val="00AE7A4E"/>
    <w:rsid w:val="00AF0CA0"/>
    <w:rsid w:val="00AF1F2D"/>
    <w:rsid w:val="00AF2365"/>
    <w:rsid w:val="00AF289C"/>
    <w:rsid w:val="00AF430C"/>
    <w:rsid w:val="00AF484A"/>
    <w:rsid w:val="00B0088B"/>
    <w:rsid w:val="00B01262"/>
    <w:rsid w:val="00B01989"/>
    <w:rsid w:val="00B024F4"/>
    <w:rsid w:val="00B02C0C"/>
    <w:rsid w:val="00B05A3D"/>
    <w:rsid w:val="00B06E8D"/>
    <w:rsid w:val="00B114DE"/>
    <w:rsid w:val="00B11A82"/>
    <w:rsid w:val="00B12422"/>
    <w:rsid w:val="00B12C43"/>
    <w:rsid w:val="00B1436F"/>
    <w:rsid w:val="00B154CE"/>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987"/>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466"/>
    <w:rsid w:val="00B975B7"/>
    <w:rsid w:val="00BA0122"/>
    <w:rsid w:val="00BA1763"/>
    <w:rsid w:val="00BA5518"/>
    <w:rsid w:val="00BA5A77"/>
    <w:rsid w:val="00BA6452"/>
    <w:rsid w:val="00BA65D1"/>
    <w:rsid w:val="00BA7BC5"/>
    <w:rsid w:val="00BB0DFB"/>
    <w:rsid w:val="00BB3AC8"/>
    <w:rsid w:val="00BB5511"/>
    <w:rsid w:val="00BB581F"/>
    <w:rsid w:val="00BB5FEA"/>
    <w:rsid w:val="00BB66BF"/>
    <w:rsid w:val="00BB6D2A"/>
    <w:rsid w:val="00BC0CA0"/>
    <w:rsid w:val="00BC1B1D"/>
    <w:rsid w:val="00BC23F3"/>
    <w:rsid w:val="00BC2A83"/>
    <w:rsid w:val="00BC31C1"/>
    <w:rsid w:val="00BC3380"/>
    <w:rsid w:val="00BC3BCB"/>
    <w:rsid w:val="00BC4585"/>
    <w:rsid w:val="00BC4B3D"/>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27AA"/>
    <w:rsid w:val="00C8353C"/>
    <w:rsid w:val="00C8376C"/>
    <w:rsid w:val="00C84A17"/>
    <w:rsid w:val="00C853E1"/>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F00DE"/>
    <w:rsid w:val="00CF34E2"/>
    <w:rsid w:val="00CF5179"/>
    <w:rsid w:val="00CF70A1"/>
    <w:rsid w:val="00CF7803"/>
    <w:rsid w:val="00D003BA"/>
    <w:rsid w:val="00D0104B"/>
    <w:rsid w:val="00D02628"/>
    <w:rsid w:val="00D0470A"/>
    <w:rsid w:val="00D07260"/>
    <w:rsid w:val="00D10CAA"/>
    <w:rsid w:val="00D1386C"/>
    <w:rsid w:val="00D143ED"/>
    <w:rsid w:val="00D15BBC"/>
    <w:rsid w:val="00D17C93"/>
    <w:rsid w:val="00D20D92"/>
    <w:rsid w:val="00D21DF6"/>
    <w:rsid w:val="00D22794"/>
    <w:rsid w:val="00D24D0E"/>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66185"/>
    <w:rsid w:val="00D66C34"/>
    <w:rsid w:val="00D701A2"/>
    <w:rsid w:val="00D717A8"/>
    <w:rsid w:val="00D718FD"/>
    <w:rsid w:val="00D72DFC"/>
    <w:rsid w:val="00D74B83"/>
    <w:rsid w:val="00D75B28"/>
    <w:rsid w:val="00D81D26"/>
    <w:rsid w:val="00D85E3F"/>
    <w:rsid w:val="00D87DFB"/>
    <w:rsid w:val="00D94EE3"/>
    <w:rsid w:val="00D96CB4"/>
    <w:rsid w:val="00DA0051"/>
    <w:rsid w:val="00DA0A93"/>
    <w:rsid w:val="00DA4C50"/>
    <w:rsid w:val="00DA6124"/>
    <w:rsid w:val="00DA6222"/>
    <w:rsid w:val="00DA71B8"/>
    <w:rsid w:val="00DB2B4D"/>
    <w:rsid w:val="00DB3801"/>
    <w:rsid w:val="00DC0973"/>
    <w:rsid w:val="00DC1779"/>
    <w:rsid w:val="00DC240B"/>
    <w:rsid w:val="00DC26DE"/>
    <w:rsid w:val="00DC2CF0"/>
    <w:rsid w:val="00DC36C7"/>
    <w:rsid w:val="00DC3E80"/>
    <w:rsid w:val="00DC4020"/>
    <w:rsid w:val="00DC4AC9"/>
    <w:rsid w:val="00DC552A"/>
    <w:rsid w:val="00DC6142"/>
    <w:rsid w:val="00DC67BE"/>
    <w:rsid w:val="00DD1F0A"/>
    <w:rsid w:val="00DD3F85"/>
    <w:rsid w:val="00DD6D1A"/>
    <w:rsid w:val="00DD76ED"/>
    <w:rsid w:val="00DE06BF"/>
    <w:rsid w:val="00DE3A52"/>
    <w:rsid w:val="00DE3CA3"/>
    <w:rsid w:val="00DE5ACA"/>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310"/>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01FA"/>
    <w:rsid w:val="00E6164D"/>
    <w:rsid w:val="00E61C52"/>
    <w:rsid w:val="00E642DC"/>
    <w:rsid w:val="00E64A31"/>
    <w:rsid w:val="00E6536E"/>
    <w:rsid w:val="00E66808"/>
    <w:rsid w:val="00E676B2"/>
    <w:rsid w:val="00E714C9"/>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0E17"/>
    <w:rsid w:val="00EA173C"/>
    <w:rsid w:val="00EA4D8D"/>
    <w:rsid w:val="00EA5E27"/>
    <w:rsid w:val="00EA68AD"/>
    <w:rsid w:val="00EB2AFB"/>
    <w:rsid w:val="00EB4B0C"/>
    <w:rsid w:val="00EB4FAB"/>
    <w:rsid w:val="00EB7592"/>
    <w:rsid w:val="00EC1B70"/>
    <w:rsid w:val="00EC3454"/>
    <w:rsid w:val="00EC39E2"/>
    <w:rsid w:val="00EC4292"/>
    <w:rsid w:val="00EC5989"/>
    <w:rsid w:val="00EC5CC9"/>
    <w:rsid w:val="00EC7140"/>
    <w:rsid w:val="00EC7B80"/>
    <w:rsid w:val="00EC7CE3"/>
    <w:rsid w:val="00ED0481"/>
    <w:rsid w:val="00ED20E1"/>
    <w:rsid w:val="00ED346E"/>
    <w:rsid w:val="00ED3E27"/>
    <w:rsid w:val="00ED66CD"/>
    <w:rsid w:val="00EE3628"/>
    <w:rsid w:val="00EE46D3"/>
    <w:rsid w:val="00EE4A83"/>
    <w:rsid w:val="00EE6504"/>
    <w:rsid w:val="00EF3434"/>
    <w:rsid w:val="00EF4481"/>
    <w:rsid w:val="00EF4683"/>
    <w:rsid w:val="00F00231"/>
    <w:rsid w:val="00F04D8A"/>
    <w:rsid w:val="00F056F6"/>
    <w:rsid w:val="00F13857"/>
    <w:rsid w:val="00F169C8"/>
    <w:rsid w:val="00F16B1C"/>
    <w:rsid w:val="00F1715A"/>
    <w:rsid w:val="00F201AF"/>
    <w:rsid w:val="00F21407"/>
    <w:rsid w:val="00F21C62"/>
    <w:rsid w:val="00F26BF5"/>
    <w:rsid w:val="00F271B6"/>
    <w:rsid w:val="00F4139C"/>
    <w:rsid w:val="00F42E75"/>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0267"/>
    <w:rsid w:val="00F91F32"/>
    <w:rsid w:val="00F93F75"/>
    <w:rsid w:val="00F96E83"/>
    <w:rsid w:val="00F96EB4"/>
    <w:rsid w:val="00FA16DF"/>
    <w:rsid w:val="00FA2845"/>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D5E5B"/>
    <w:rsid w:val="00FE1117"/>
    <w:rsid w:val="00FE1C50"/>
    <w:rsid w:val="00FE1E18"/>
    <w:rsid w:val="00FF040B"/>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369A7"/>
  <w15:chartTrackingRefBased/>
  <w15:docId w15:val="{F3689F3E-7807-4C40-8F8A-6CC4ED239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27DD"/>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link w:val="B2Char"/>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 w:type="character" w:customStyle="1" w:styleId="B1Char">
    <w:name w:val="B1 Char"/>
    <w:rsid w:val="002B0D87"/>
    <w:rPr>
      <w:rFonts w:eastAsia="Times New Roman"/>
      <w:lang w:val="en-GB" w:eastAsia="x-none"/>
    </w:rPr>
  </w:style>
  <w:style w:type="paragraph" w:customStyle="1" w:styleId="NO">
    <w:name w:val="NO"/>
    <w:basedOn w:val="Normal"/>
    <w:link w:val="NOChar"/>
    <w:rsid w:val="005E0AD3"/>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5E0AD3"/>
    <w:rPr>
      <w:rFonts w:ascii="Times New Roman" w:eastAsia="Times New Roman" w:hAnsi="Times New Roman" w:cs="Times New Roman"/>
      <w:sz w:val="20"/>
      <w:szCs w:val="20"/>
      <w:lang w:val="en-GB" w:eastAsia="x-none"/>
    </w:rPr>
  </w:style>
  <w:style w:type="paragraph" w:customStyle="1" w:styleId="TableNo">
    <w:name w:val="Table_No"/>
    <w:basedOn w:val="Normal"/>
    <w:next w:val="Normal"/>
    <w:link w:val="TableNo0"/>
    <w:rsid w:val="00D66C34"/>
    <w:pPr>
      <w:keepNext/>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Batang" w:hAnsi="Times New Roman" w:cs="Times New Roman"/>
      <w:sz w:val="24"/>
      <w:szCs w:val="20"/>
      <w:lang w:val="fr-FR"/>
    </w:rPr>
  </w:style>
  <w:style w:type="character" w:customStyle="1" w:styleId="TableNo0">
    <w:name w:val="Table_No Знак"/>
    <w:link w:val="TableNo"/>
    <w:locked/>
    <w:rsid w:val="00D66C34"/>
    <w:rPr>
      <w:rFonts w:ascii="Times New Roman" w:eastAsia="Batang" w:hAnsi="Times New Roman" w:cs="Times New Roman"/>
      <w:sz w:val="24"/>
      <w:szCs w:val="20"/>
      <w:lang w:val="fr-FR"/>
    </w:rPr>
  </w:style>
  <w:style w:type="character" w:customStyle="1" w:styleId="B2Char">
    <w:name w:val="B2 Char"/>
    <w:basedOn w:val="DefaultParagraphFont"/>
    <w:link w:val="B2"/>
    <w:locked/>
    <w:rsid w:val="005E006F"/>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193353421">
      <w:bodyDiv w:val="1"/>
      <w:marLeft w:val="0"/>
      <w:marRight w:val="0"/>
      <w:marTop w:val="0"/>
      <w:marBottom w:val="0"/>
      <w:divBdr>
        <w:top w:val="none" w:sz="0" w:space="0" w:color="auto"/>
        <w:left w:val="none" w:sz="0" w:space="0" w:color="auto"/>
        <w:bottom w:val="none" w:sz="0" w:space="0" w:color="auto"/>
        <w:right w:val="none" w:sz="0" w:space="0" w:color="auto"/>
      </w:divBdr>
    </w:div>
    <w:div w:id="220219250">
      <w:bodyDiv w:val="1"/>
      <w:marLeft w:val="0"/>
      <w:marRight w:val="0"/>
      <w:marTop w:val="0"/>
      <w:marBottom w:val="0"/>
      <w:divBdr>
        <w:top w:val="none" w:sz="0" w:space="0" w:color="auto"/>
        <w:left w:val="none" w:sz="0" w:space="0" w:color="auto"/>
        <w:bottom w:val="none" w:sz="0" w:space="0" w:color="auto"/>
        <w:right w:val="none" w:sz="0" w:space="0" w:color="auto"/>
      </w:divBdr>
    </w:div>
    <w:div w:id="244264748">
      <w:bodyDiv w:val="1"/>
      <w:marLeft w:val="0"/>
      <w:marRight w:val="0"/>
      <w:marTop w:val="0"/>
      <w:marBottom w:val="0"/>
      <w:divBdr>
        <w:top w:val="none" w:sz="0" w:space="0" w:color="auto"/>
        <w:left w:val="none" w:sz="0" w:space="0" w:color="auto"/>
        <w:bottom w:val="none" w:sz="0" w:space="0" w:color="auto"/>
        <w:right w:val="none" w:sz="0" w:space="0" w:color="auto"/>
      </w:divBdr>
    </w:div>
    <w:div w:id="298655681">
      <w:bodyDiv w:val="1"/>
      <w:marLeft w:val="0"/>
      <w:marRight w:val="0"/>
      <w:marTop w:val="0"/>
      <w:marBottom w:val="0"/>
      <w:divBdr>
        <w:top w:val="none" w:sz="0" w:space="0" w:color="auto"/>
        <w:left w:val="none" w:sz="0" w:space="0" w:color="auto"/>
        <w:bottom w:val="none" w:sz="0" w:space="0" w:color="auto"/>
        <w:right w:val="none" w:sz="0" w:space="0" w:color="auto"/>
      </w:divBdr>
    </w:div>
    <w:div w:id="358744662">
      <w:bodyDiv w:val="1"/>
      <w:marLeft w:val="0"/>
      <w:marRight w:val="0"/>
      <w:marTop w:val="0"/>
      <w:marBottom w:val="0"/>
      <w:divBdr>
        <w:top w:val="none" w:sz="0" w:space="0" w:color="auto"/>
        <w:left w:val="none" w:sz="0" w:space="0" w:color="auto"/>
        <w:bottom w:val="none" w:sz="0" w:space="0" w:color="auto"/>
        <w:right w:val="none" w:sz="0" w:space="0" w:color="auto"/>
      </w:divBdr>
    </w:div>
    <w:div w:id="383680374">
      <w:bodyDiv w:val="1"/>
      <w:marLeft w:val="0"/>
      <w:marRight w:val="0"/>
      <w:marTop w:val="0"/>
      <w:marBottom w:val="0"/>
      <w:divBdr>
        <w:top w:val="none" w:sz="0" w:space="0" w:color="auto"/>
        <w:left w:val="none" w:sz="0" w:space="0" w:color="auto"/>
        <w:bottom w:val="none" w:sz="0" w:space="0" w:color="auto"/>
        <w:right w:val="none" w:sz="0" w:space="0" w:color="auto"/>
      </w:divBdr>
    </w:div>
    <w:div w:id="496771874">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791755301">
      <w:bodyDiv w:val="1"/>
      <w:marLeft w:val="0"/>
      <w:marRight w:val="0"/>
      <w:marTop w:val="0"/>
      <w:marBottom w:val="0"/>
      <w:divBdr>
        <w:top w:val="none" w:sz="0" w:space="0" w:color="auto"/>
        <w:left w:val="none" w:sz="0" w:space="0" w:color="auto"/>
        <w:bottom w:val="none" w:sz="0" w:space="0" w:color="auto"/>
        <w:right w:val="none" w:sz="0" w:space="0" w:color="auto"/>
      </w:divBdr>
    </w:div>
    <w:div w:id="835614312">
      <w:bodyDiv w:val="1"/>
      <w:marLeft w:val="0"/>
      <w:marRight w:val="0"/>
      <w:marTop w:val="0"/>
      <w:marBottom w:val="0"/>
      <w:divBdr>
        <w:top w:val="none" w:sz="0" w:space="0" w:color="auto"/>
        <w:left w:val="none" w:sz="0" w:space="0" w:color="auto"/>
        <w:bottom w:val="none" w:sz="0" w:space="0" w:color="auto"/>
        <w:right w:val="none" w:sz="0" w:space="0" w:color="auto"/>
      </w:divBdr>
    </w:div>
    <w:div w:id="962536329">
      <w:bodyDiv w:val="1"/>
      <w:marLeft w:val="0"/>
      <w:marRight w:val="0"/>
      <w:marTop w:val="0"/>
      <w:marBottom w:val="0"/>
      <w:divBdr>
        <w:top w:val="none" w:sz="0" w:space="0" w:color="auto"/>
        <w:left w:val="none" w:sz="0" w:space="0" w:color="auto"/>
        <w:bottom w:val="none" w:sz="0" w:space="0" w:color="auto"/>
        <w:right w:val="none" w:sz="0" w:space="0" w:color="auto"/>
      </w:divBdr>
    </w:div>
    <w:div w:id="995693383">
      <w:bodyDiv w:val="1"/>
      <w:marLeft w:val="0"/>
      <w:marRight w:val="0"/>
      <w:marTop w:val="0"/>
      <w:marBottom w:val="0"/>
      <w:divBdr>
        <w:top w:val="none" w:sz="0" w:space="0" w:color="auto"/>
        <w:left w:val="none" w:sz="0" w:space="0" w:color="auto"/>
        <w:bottom w:val="none" w:sz="0" w:space="0" w:color="auto"/>
        <w:right w:val="none" w:sz="0" w:space="0" w:color="auto"/>
      </w:divBdr>
    </w:div>
    <w:div w:id="1058363808">
      <w:bodyDiv w:val="1"/>
      <w:marLeft w:val="0"/>
      <w:marRight w:val="0"/>
      <w:marTop w:val="0"/>
      <w:marBottom w:val="0"/>
      <w:divBdr>
        <w:top w:val="none" w:sz="0" w:space="0" w:color="auto"/>
        <w:left w:val="none" w:sz="0" w:space="0" w:color="auto"/>
        <w:bottom w:val="none" w:sz="0" w:space="0" w:color="auto"/>
        <w:right w:val="none" w:sz="0" w:space="0" w:color="auto"/>
      </w:divBdr>
    </w:div>
    <w:div w:id="1114405423">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256329698">
      <w:bodyDiv w:val="1"/>
      <w:marLeft w:val="0"/>
      <w:marRight w:val="0"/>
      <w:marTop w:val="0"/>
      <w:marBottom w:val="0"/>
      <w:divBdr>
        <w:top w:val="none" w:sz="0" w:space="0" w:color="auto"/>
        <w:left w:val="none" w:sz="0" w:space="0" w:color="auto"/>
        <w:bottom w:val="none" w:sz="0" w:space="0" w:color="auto"/>
        <w:right w:val="none" w:sz="0" w:space="0" w:color="auto"/>
      </w:divBdr>
    </w:div>
    <w:div w:id="1269197603">
      <w:bodyDiv w:val="1"/>
      <w:marLeft w:val="0"/>
      <w:marRight w:val="0"/>
      <w:marTop w:val="0"/>
      <w:marBottom w:val="0"/>
      <w:divBdr>
        <w:top w:val="none" w:sz="0" w:space="0" w:color="auto"/>
        <w:left w:val="none" w:sz="0" w:space="0" w:color="auto"/>
        <w:bottom w:val="none" w:sz="0" w:space="0" w:color="auto"/>
        <w:right w:val="none" w:sz="0" w:space="0" w:color="auto"/>
      </w:divBdr>
      <w:divsChild>
        <w:div w:id="110974876">
          <w:marLeft w:val="274"/>
          <w:marRight w:val="0"/>
          <w:marTop w:val="240"/>
          <w:marBottom w:val="0"/>
          <w:divBdr>
            <w:top w:val="none" w:sz="0" w:space="0" w:color="auto"/>
            <w:left w:val="none" w:sz="0" w:space="0" w:color="auto"/>
            <w:bottom w:val="none" w:sz="0" w:space="0" w:color="auto"/>
            <w:right w:val="none" w:sz="0" w:space="0" w:color="auto"/>
          </w:divBdr>
        </w:div>
        <w:div w:id="1679458138">
          <w:marLeft w:val="274"/>
          <w:marRight w:val="0"/>
          <w:marTop w:val="240"/>
          <w:marBottom w:val="0"/>
          <w:divBdr>
            <w:top w:val="none" w:sz="0" w:space="0" w:color="auto"/>
            <w:left w:val="none" w:sz="0" w:space="0" w:color="auto"/>
            <w:bottom w:val="none" w:sz="0" w:space="0" w:color="auto"/>
            <w:right w:val="none" w:sz="0" w:space="0" w:color="auto"/>
          </w:divBdr>
        </w:div>
        <w:div w:id="1564177443">
          <w:marLeft w:val="274"/>
          <w:marRight w:val="0"/>
          <w:marTop w:val="240"/>
          <w:marBottom w:val="0"/>
          <w:divBdr>
            <w:top w:val="none" w:sz="0" w:space="0" w:color="auto"/>
            <w:left w:val="none" w:sz="0" w:space="0" w:color="auto"/>
            <w:bottom w:val="none" w:sz="0" w:space="0" w:color="auto"/>
            <w:right w:val="none" w:sz="0" w:space="0" w:color="auto"/>
          </w:divBdr>
        </w:div>
        <w:div w:id="766654186">
          <w:marLeft w:val="274"/>
          <w:marRight w:val="0"/>
          <w:marTop w:val="240"/>
          <w:marBottom w:val="0"/>
          <w:divBdr>
            <w:top w:val="none" w:sz="0" w:space="0" w:color="auto"/>
            <w:left w:val="none" w:sz="0" w:space="0" w:color="auto"/>
            <w:bottom w:val="none" w:sz="0" w:space="0" w:color="auto"/>
            <w:right w:val="none" w:sz="0" w:space="0" w:color="auto"/>
          </w:divBdr>
        </w:div>
        <w:div w:id="34543496">
          <w:marLeft w:val="274"/>
          <w:marRight w:val="0"/>
          <w:marTop w:val="240"/>
          <w:marBottom w:val="0"/>
          <w:divBdr>
            <w:top w:val="none" w:sz="0" w:space="0" w:color="auto"/>
            <w:left w:val="none" w:sz="0" w:space="0" w:color="auto"/>
            <w:bottom w:val="none" w:sz="0" w:space="0" w:color="auto"/>
            <w:right w:val="none" w:sz="0" w:space="0" w:color="auto"/>
          </w:divBdr>
        </w:div>
      </w:divsChild>
    </w:div>
    <w:div w:id="1333030261">
      <w:bodyDiv w:val="1"/>
      <w:marLeft w:val="0"/>
      <w:marRight w:val="0"/>
      <w:marTop w:val="0"/>
      <w:marBottom w:val="0"/>
      <w:divBdr>
        <w:top w:val="none" w:sz="0" w:space="0" w:color="auto"/>
        <w:left w:val="none" w:sz="0" w:space="0" w:color="auto"/>
        <w:bottom w:val="none" w:sz="0" w:space="0" w:color="auto"/>
        <w:right w:val="none" w:sz="0" w:space="0" w:color="auto"/>
      </w:divBdr>
    </w:div>
    <w:div w:id="1450588573">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25636370">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584409387">
      <w:bodyDiv w:val="1"/>
      <w:marLeft w:val="0"/>
      <w:marRight w:val="0"/>
      <w:marTop w:val="0"/>
      <w:marBottom w:val="0"/>
      <w:divBdr>
        <w:top w:val="none" w:sz="0" w:space="0" w:color="auto"/>
        <w:left w:val="none" w:sz="0" w:space="0" w:color="auto"/>
        <w:bottom w:val="none" w:sz="0" w:space="0" w:color="auto"/>
        <w:right w:val="none" w:sz="0" w:space="0" w:color="auto"/>
      </w:divBdr>
    </w:div>
    <w:div w:id="1759711012">
      <w:bodyDiv w:val="1"/>
      <w:marLeft w:val="0"/>
      <w:marRight w:val="0"/>
      <w:marTop w:val="0"/>
      <w:marBottom w:val="0"/>
      <w:divBdr>
        <w:top w:val="none" w:sz="0" w:space="0" w:color="auto"/>
        <w:left w:val="none" w:sz="0" w:space="0" w:color="auto"/>
        <w:bottom w:val="none" w:sz="0" w:space="0" w:color="auto"/>
        <w:right w:val="none" w:sz="0" w:space="0" w:color="auto"/>
      </w:divBdr>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46908856">
      <w:bodyDiv w:val="1"/>
      <w:marLeft w:val="0"/>
      <w:marRight w:val="0"/>
      <w:marTop w:val="0"/>
      <w:marBottom w:val="0"/>
      <w:divBdr>
        <w:top w:val="none" w:sz="0" w:space="0" w:color="auto"/>
        <w:left w:val="none" w:sz="0" w:space="0" w:color="auto"/>
        <w:bottom w:val="none" w:sz="0" w:space="0" w:color="auto"/>
        <w:right w:val="none" w:sz="0" w:space="0" w:color="auto"/>
      </w:divBdr>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 w:id="214526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1104</Words>
  <Characters>6294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2018-02-18T21:19:00Z</dcterms:created>
  <dcterms:modified xsi:type="dcterms:W3CDTF">2018-02-18T21:19:00Z</dcterms:modified>
</cp:coreProperties>
</file>